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hAnsi="Times New Roman" w:eastAsia="黑体"/>
          <w:sz w:val="32"/>
          <w:szCs w:val="32"/>
        </w:rPr>
      </w:pPr>
      <w:bookmarkStart w:id="0" w:name="_Hlk45551999"/>
      <w:r>
        <w:rPr>
          <w:rFonts w:ascii="Times New Roman" w:hAnsi="Times New Roman" w:eastAsia="黑体"/>
          <w:sz w:val="32"/>
          <w:szCs w:val="32"/>
        </w:rPr>
        <w:t>附件</w:t>
      </w:r>
      <w:r>
        <w:rPr>
          <w:rFonts w:hint="eastAsia" w:ascii="Times New Roman" w:hAnsi="Times New Roman" w:eastAsia="黑体"/>
          <w:sz w:val="32"/>
          <w:szCs w:val="32"/>
        </w:rPr>
        <w:t>1</w:t>
      </w:r>
    </w:p>
    <w:p>
      <w:pPr>
        <w:spacing w:line="560" w:lineRule="exact"/>
        <w:jc w:val="center"/>
        <w:rPr>
          <w:rFonts w:ascii="Times New Roman" w:hAnsi="Times New Roman" w:eastAsia="方正小标宋简体"/>
          <w:spacing w:val="-23"/>
          <w:w w:val="95"/>
          <w:sz w:val="44"/>
          <w:szCs w:val="44"/>
        </w:rPr>
      </w:pPr>
      <w:r>
        <w:rPr>
          <w:rFonts w:hint="eastAsia" w:ascii="Times New Roman" w:hAnsi="Times New Roman" w:eastAsia="方正小标宋简体"/>
          <w:spacing w:val="-23"/>
          <w:w w:val="95"/>
          <w:sz w:val="44"/>
          <w:szCs w:val="44"/>
        </w:rPr>
        <w:t>第二</w:t>
      </w:r>
      <w:r>
        <w:rPr>
          <w:rFonts w:ascii="Times New Roman" w:hAnsi="Times New Roman" w:eastAsia="方正小标宋简体"/>
          <w:spacing w:val="-23"/>
          <w:w w:val="95"/>
          <w:sz w:val="44"/>
          <w:szCs w:val="44"/>
        </w:rPr>
        <w:t>季度县（市）、</w:t>
      </w:r>
      <w:r>
        <w:rPr>
          <w:rFonts w:hint="eastAsia" w:ascii="Times New Roman" w:hAnsi="Times New Roman" w:eastAsia="方正小标宋简体"/>
          <w:spacing w:val="-23"/>
          <w:w w:val="95"/>
          <w:sz w:val="44"/>
          <w:szCs w:val="44"/>
        </w:rPr>
        <w:t>飞地园区</w:t>
      </w:r>
      <w:r>
        <w:rPr>
          <w:rFonts w:ascii="Times New Roman" w:hAnsi="Times New Roman" w:eastAsia="方正小标宋简体"/>
          <w:spacing w:val="-23"/>
          <w:w w:val="95"/>
          <w:sz w:val="44"/>
          <w:szCs w:val="44"/>
        </w:rPr>
        <w:t>投资促进和项目推进部分考核内容评价得分情况表</w:t>
      </w:r>
    </w:p>
    <w:p>
      <w:pPr>
        <w:spacing w:line="400" w:lineRule="exact"/>
        <w:jc w:val="center"/>
        <w:rPr>
          <w:rFonts w:ascii="Times New Roman" w:hAnsi="Times New Roman" w:eastAsia="方正小标宋简体"/>
          <w:sz w:val="32"/>
          <w:szCs w:val="32"/>
        </w:rPr>
      </w:pPr>
    </w:p>
    <w:bookmarkEnd w:id="0"/>
    <w:tbl>
      <w:tblPr>
        <w:tblStyle w:val="7"/>
        <w:tblW w:w="15168" w:type="dxa"/>
        <w:jc w:val="center"/>
        <w:tblInd w:w="0" w:type="dxa"/>
        <w:tblLayout w:type="fixed"/>
        <w:tblCellMar>
          <w:top w:w="15" w:type="dxa"/>
          <w:left w:w="15" w:type="dxa"/>
          <w:bottom w:w="15" w:type="dxa"/>
          <w:right w:w="15" w:type="dxa"/>
        </w:tblCellMar>
      </w:tblPr>
      <w:tblGrid>
        <w:gridCol w:w="725"/>
        <w:gridCol w:w="693"/>
        <w:gridCol w:w="1150"/>
        <w:gridCol w:w="1543"/>
        <w:gridCol w:w="1701"/>
        <w:gridCol w:w="1240"/>
        <w:gridCol w:w="4163"/>
        <w:gridCol w:w="1275"/>
        <w:gridCol w:w="2678"/>
      </w:tblGrid>
      <w:tr>
        <w:tblPrEx>
          <w:tblLayout w:type="fixed"/>
          <w:tblCellMar>
            <w:top w:w="15" w:type="dxa"/>
            <w:left w:w="15" w:type="dxa"/>
            <w:bottom w:w="15" w:type="dxa"/>
            <w:right w:w="15" w:type="dxa"/>
          </w:tblCellMar>
        </w:tblPrEx>
        <w:trPr>
          <w:trHeight w:val="585" w:hRule="atLeast"/>
          <w:jc w:val="center"/>
        </w:trPr>
        <w:tc>
          <w:tcPr>
            <w:tcW w:w="725" w:type="dxa"/>
            <w:tcBorders>
              <w:top w:val="single" w:color="000000" w:sz="4" w:space="0"/>
              <w:left w:val="single" w:color="000000" w:sz="4" w:space="0"/>
              <w:right w:val="single" w:color="000000" w:sz="4" w:space="0"/>
            </w:tcBorders>
            <w:vAlign w:val="top"/>
          </w:tcPr>
          <w:p>
            <w:pPr>
              <w:spacing w:line="280" w:lineRule="exact"/>
              <w:rPr>
                <w:rFonts w:hint="eastAsia" w:ascii="黑体" w:hAnsi="黑体" w:eastAsia="黑体"/>
                <w:color w:val="000000"/>
                <w:sz w:val="28"/>
                <w:szCs w:val="28"/>
              </w:rPr>
            </w:pPr>
          </w:p>
        </w:tc>
        <w:tc>
          <w:tcPr>
            <w:tcW w:w="693" w:type="dxa"/>
            <w:vMerge w:val="restart"/>
            <w:tcBorders>
              <w:top w:val="single" w:color="000000" w:sz="4" w:space="0"/>
              <w:left w:val="single" w:color="000000" w:sz="4" w:space="0"/>
              <w:right w:val="single" w:color="000000" w:sz="4" w:space="0"/>
            </w:tcBorders>
            <w:vAlign w:val="center"/>
          </w:tcPr>
          <w:p>
            <w:pPr>
              <w:spacing w:line="280" w:lineRule="exact"/>
              <w:rPr>
                <w:rFonts w:hint="eastAsia" w:ascii="黑体" w:hAnsi="黑体" w:eastAsia="黑体"/>
                <w:color w:val="000000"/>
                <w:sz w:val="28"/>
                <w:szCs w:val="28"/>
              </w:rPr>
            </w:pPr>
            <w:r>
              <w:rPr>
                <w:rFonts w:hint="eastAsia" w:ascii="黑体" w:hAnsi="黑体" w:eastAsia="黑体"/>
                <w:color w:val="000000"/>
                <w:sz w:val="28"/>
                <w:szCs w:val="28"/>
              </w:rPr>
              <w:t>小计（分）</w:t>
            </w:r>
          </w:p>
        </w:tc>
        <w:tc>
          <w:tcPr>
            <w:tcW w:w="4394" w:type="dxa"/>
            <w:gridSpan w:val="3"/>
            <w:tcBorders>
              <w:top w:val="single" w:color="000000" w:sz="4" w:space="0"/>
              <w:left w:val="single" w:color="000000" w:sz="4" w:space="0"/>
              <w:right w:val="single" w:color="000000" w:sz="4" w:space="0"/>
            </w:tcBorders>
            <w:vAlign w:val="center"/>
          </w:tcPr>
          <w:p>
            <w:pPr>
              <w:spacing w:line="280" w:lineRule="exact"/>
              <w:jc w:val="center"/>
              <w:rPr>
                <w:rFonts w:hint="eastAsia" w:ascii="Times New Roman" w:hAnsi="Times New Roman" w:eastAsia="黑体"/>
                <w:color w:val="000000"/>
                <w:sz w:val="28"/>
                <w:szCs w:val="28"/>
              </w:rPr>
            </w:pPr>
            <w:r>
              <w:rPr>
                <w:rFonts w:ascii="Times New Roman" w:hAnsi="Times New Roman" w:eastAsia="黑体"/>
                <w:color w:val="000000"/>
                <w:sz w:val="28"/>
                <w:szCs w:val="28"/>
              </w:rPr>
              <w:t>全社会固定资产投资完成情况</w:t>
            </w:r>
            <w:r>
              <w:rPr>
                <w:rFonts w:hint="eastAsia" w:ascii="Times New Roman" w:hAnsi="Times New Roman" w:eastAsia="黑体"/>
                <w:color w:val="000000"/>
                <w:sz w:val="28"/>
                <w:szCs w:val="28"/>
              </w:rPr>
              <w:t>得分</w:t>
            </w:r>
          </w:p>
        </w:tc>
        <w:tc>
          <w:tcPr>
            <w:tcW w:w="5403"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Times New Roman" w:hAnsi="Times New Roman" w:eastAsia="黑体"/>
                <w:color w:val="000000"/>
                <w:sz w:val="28"/>
                <w:szCs w:val="28"/>
              </w:rPr>
            </w:pPr>
            <w:r>
              <w:rPr>
                <w:rFonts w:hint="eastAsia" w:ascii="Times New Roman" w:hAnsi="Times New Roman" w:eastAsia="黑体"/>
                <w:color w:val="000000"/>
                <w:sz w:val="28"/>
                <w:szCs w:val="28"/>
              </w:rPr>
              <w:t xml:space="preserve">项目协调调度情况得分 </w:t>
            </w:r>
          </w:p>
        </w:tc>
        <w:tc>
          <w:tcPr>
            <w:tcW w:w="3953" w:type="dxa"/>
            <w:gridSpan w:val="2"/>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Times New Roman" w:hAnsi="Times New Roman" w:eastAsia="黑体"/>
                <w:sz w:val="28"/>
                <w:szCs w:val="28"/>
              </w:rPr>
            </w:pPr>
            <w:r>
              <w:rPr>
                <w:rFonts w:hint="eastAsia" w:ascii="Times New Roman" w:hAnsi="Times New Roman" w:eastAsia="黑体"/>
                <w:sz w:val="28"/>
                <w:szCs w:val="28"/>
              </w:rPr>
              <w:t>监督检查及州级领导批示督办完成情况得分</w:t>
            </w:r>
          </w:p>
        </w:tc>
      </w:tr>
      <w:tr>
        <w:tblPrEx>
          <w:tblLayout w:type="fixed"/>
          <w:tblCellMar>
            <w:top w:w="15" w:type="dxa"/>
            <w:left w:w="15" w:type="dxa"/>
            <w:bottom w:w="15" w:type="dxa"/>
            <w:right w:w="15" w:type="dxa"/>
          </w:tblCellMar>
        </w:tblPrEx>
        <w:trPr>
          <w:trHeight w:val="1799" w:hRule="atLeast"/>
          <w:jc w:val="center"/>
        </w:trPr>
        <w:tc>
          <w:tcPr>
            <w:tcW w:w="725" w:type="dxa"/>
            <w:vMerge w:val="restart"/>
            <w:tcBorders>
              <w:left w:val="single" w:color="000000" w:sz="4" w:space="0"/>
              <w:right w:val="single" w:color="000000" w:sz="4" w:space="0"/>
            </w:tcBorders>
            <w:vAlign w:val="top"/>
          </w:tcPr>
          <w:p>
            <w:pPr>
              <w:spacing w:line="280" w:lineRule="exact"/>
              <w:jc w:val="center"/>
              <w:rPr>
                <w:rFonts w:hint="eastAsia" w:ascii="黑体" w:hAnsi="黑体" w:eastAsia="黑体"/>
                <w:color w:val="000000"/>
                <w:sz w:val="28"/>
                <w:szCs w:val="28"/>
              </w:rPr>
            </w:pPr>
          </w:p>
          <w:p>
            <w:pPr>
              <w:spacing w:line="280" w:lineRule="exact"/>
              <w:jc w:val="center"/>
              <w:rPr>
                <w:rFonts w:ascii="黑体" w:hAnsi="黑体" w:eastAsia="黑体"/>
                <w:color w:val="000000"/>
                <w:sz w:val="28"/>
                <w:szCs w:val="28"/>
              </w:rPr>
            </w:pPr>
            <w:r>
              <w:rPr>
                <w:rFonts w:hint="eastAsia" w:ascii="黑体" w:hAnsi="黑体" w:eastAsia="黑体"/>
                <w:color w:val="000000"/>
                <w:sz w:val="28"/>
                <w:szCs w:val="28"/>
              </w:rPr>
              <w:t>县（市）、飞地园区</w:t>
            </w:r>
          </w:p>
        </w:tc>
        <w:tc>
          <w:tcPr>
            <w:tcW w:w="693" w:type="dxa"/>
            <w:vMerge w:val="continue"/>
            <w:tcBorders>
              <w:left w:val="single" w:color="000000" w:sz="4" w:space="0"/>
              <w:right w:val="single" w:color="000000" w:sz="4" w:space="0"/>
            </w:tcBorders>
            <w:vAlign w:val="center"/>
          </w:tcPr>
          <w:p>
            <w:pPr>
              <w:spacing w:line="280" w:lineRule="exact"/>
              <w:jc w:val="center"/>
              <w:rPr>
                <w:rFonts w:ascii="黑体" w:hAnsi="黑体" w:eastAsia="黑体"/>
                <w:color w:val="000000"/>
                <w:sz w:val="28"/>
                <w:szCs w:val="28"/>
              </w:rPr>
            </w:pPr>
          </w:p>
        </w:tc>
        <w:tc>
          <w:tcPr>
            <w:tcW w:w="1150" w:type="dxa"/>
            <w:vMerge w:val="restart"/>
            <w:tcBorders>
              <w:top w:val="single" w:color="000000" w:sz="4" w:space="0"/>
              <w:left w:val="single" w:color="000000" w:sz="4" w:space="0"/>
              <w:right w:val="single" w:color="000000" w:sz="4" w:space="0"/>
            </w:tcBorders>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评分标准</w:t>
            </w:r>
            <w:r>
              <w:rPr>
                <w:rFonts w:ascii="Times New Roman" w:hAnsi="Times New Roman" w:eastAsia="仿宋_GB2312"/>
                <w:color w:val="000000"/>
                <w:szCs w:val="21"/>
              </w:rPr>
              <w:t>：〔2020</w:t>
            </w:r>
            <w:r>
              <w:rPr>
                <w:rFonts w:ascii="Times New Roman" w:hAnsi="Times New Roman" w:eastAsia="仿宋_GB2312"/>
                <w:color w:val="000000"/>
                <w:kern w:val="0"/>
                <w:szCs w:val="21"/>
                <w:lang w:bidi="ar"/>
              </w:rPr>
              <w:t>实际完成额/目标额</w:t>
            </w:r>
            <w:r>
              <w:rPr>
                <w:rFonts w:ascii="Times New Roman" w:hAnsi="Times New Roman" w:eastAsia="仿宋_GB2312"/>
                <w:color w:val="000000"/>
                <w:szCs w:val="21"/>
              </w:rPr>
              <w:t>〕</w:t>
            </w:r>
            <w:r>
              <w:rPr>
                <w:rFonts w:ascii="Times New Roman" w:hAnsi="Times New Roman" w:eastAsia="仿宋_GB2312"/>
                <w:color w:val="000000"/>
                <w:kern w:val="0"/>
                <w:szCs w:val="21"/>
                <w:lang w:bidi="ar"/>
              </w:rPr>
              <w:t>×基础分值，最高得分不超过36分。</w:t>
            </w:r>
          </w:p>
        </w:tc>
        <w:tc>
          <w:tcPr>
            <w:tcW w:w="1543" w:type="dxa"/>
            <w:vMerge w:val="restart"/>
            <w:tcBorders>
              <w:top w:val="single" w:color="000000" w:sz="4" w:space="0"/>
              <w:left w:val="single" w:color="000000" w:sz="4" w:space="0"/>
              <w:right w:val="single" w:color="000000" w:sz="4" w:space="0"/>
            </w:tcBorders>
            <w:vAlign w:val="center"/>
          </w:tcPr>
          <w:p>
            <w:pPr>
              <w:spacing w:line="280" w:lineRule="exact"/>
              <w:jc w:val="left"/>
              <w:rPr>
                <w:rFonts w:ascii="Times New Roman" w:hAnsi="Times New Roman" w:eastAsia="仿宋_GB2312"/>
                <w:color w:val="000000"/>
                <w:szCs w:val="21"/>
              </w:rPr>
            </w:pPr>
            <w:r>
              <w:rPr>
                <w:rFonts w:ascii="Times New Roman" w:hAnsi="Times New Roman" w:eastAsia="仿宋_GB2312"/>
                <w:color w:val="000000"/>
                <w:szCs w:val="21"/>
              </w:rPr>
              <w:t>加分/扣分</w:t>
            </w:r>
            <w:r>
              <w:rPr>
                <w:rFonts w:hint="eastAsia" w:ascii="Times New Roman" w:hAnsi="Times New Roman" w:eastAsia="仿宋_GB2312"/>
                <w:color w:val="000000"/>
                <w:szCs w:val="21"/>
              </w:rPr>
              <w:t>标准</w:t>
            </w:r>
            <w:r>
              <w:rPr>
                <w:rFonts w:ascii="Times New Roman" w:hAnsi="Times New Roman" w:eastAsia="仿宋_GB2312"/>
                <w:color w:val="000000"/>
                <w:szCs w:val="21"/>
              </w:rPr>
              <w:t>：①〔县(市)、飞地园区投资实际完成额/全州投资完成额〕×10计算，最高加分不超过3分</w:t>
            </w:r>
            <w:r>
              <w:rPr>
                <w:rFonts w:hint="eastAsia" w:ascii="Times New Roman" w:hAnsi="Times New Roman" w:eastAsia="仿宋_GB2312"/>
                <w:color w:val="000000"/>
                <w:szCs w:val="21"/>
              </w:rPr>
              <w:t>。</w:t>
            </w:r>
          </w:p>
        </w:tc>
        <w:tc>
          <w:tcPr>
            <w:tcW w:w="1701" w:type="dxa"/>
            <w:vMerge w:val="restart"/>
            <w:tcBorders>
              <w:top w:val="single" w:color="000000" w:sz="4" w:space="0"/>
              <w:left w:val="single" w:color="000000" w:sz="4" w:space="0"/>
              <w:right w:val="single" w:color="000000" w:sz="4" w:space="0"/>
            </w:tcBorders>
            <w:vAlign w:val="center"/>
          </w:tcPr>
          <w:p>
            <w:pPr>
              <w:spacing w:line="280" w:lineRule="exact"/>
              <w:jc w:val="left"/>
              <w:rPr>
                <w:rFonts w:ascii="Times New Roman" w:hAnsi="Times New Roman" w:eastAsia="仿宋_GB2312"/>
                <w:color w:val="000000"/>
                <w:szCs w:val="21"/>
              </w:rPr>
            </w:pPr>
            <w:r>
              <w:rPr>
                <w:rFonts w:ascii="Times New Roman" w:hAnsi="Times New Roman" w:eastAsia="仿宋_GB2312"/>
                <w:color w:val="000000"/>
                <w:szCs w:val="21"/>
              </w:rPr>
              <w:t>加分/扣分</w:t>
            </w:r>
            <w:r>
              <w:rPr>
                <w:rFonts w:hint="eastAsia" w:ascii="Times New Roman" w:hAnsi="Times New Roman" w:eastAsia="仿宋_GB2312"/>
                <w:color w:val="000000"/>
                <w:szCs w:val="21"/>
              </w:rPr>
              <w:t>标准</w:t>
            </w:r>
            <w:r>
              <w:rPr>
                <w:rFonts w:ascii="Times New Roman" w:hAnsi="Times New Roman" w:eastAsia="仿宋_GB2312"/>
                <w:color w:val="000000"/>
                <w:szCs w:val="21"/>
              </w:rPr>
              <w:t>：②〔县(市)、飞地园区投资增速（百分点）－全州增速（百分点）〕×0.8计算，最高加分、扣分不超过±8分。</w:t>
            </w:r>
          </w:p>
        </w:tc>
        <w:tc>
          <w:tcPr>
            <w:tcW w:w="5403"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80" w:lineRule="exact"/>
              <w:ind w:left="0" w:leftChars="0" w:firstLine="0" w:firstLineChars="0"/>
              <w:jc w:val="left"/>
              <w:rPr>
                <w:rFonts w:ascii="Times New Roman" w:hAnsi="Times New Roman" w:eastAsia="仿宋_GB2312"/>
                <w:color w:val="000000"/>
                <w:szCs w:val="21"/>
              </w:rPr>
            </w:pPr>
            <w:r>
              <w:rPr>
                <w:rFonts w:hint="eastAsia" w:ascii="Times New Roman" w:hAnsi="Times New Roman" w:eastAsia="仿宋_GB2312"/>
                <w:color w:val="000000"/>
                <w:szCs w:val="21"/>
              </w:rPr>
              <w:t>加分</w:t>
            </w:r>
            <w:r>
              <w:rPr>
                <w:rFonts w:ascii="Times New Roman" w:hAnsi="Times New Roman" w:eastAsia="仿宋_GB2312"/>
                <w:color w:val="000000"/>
                <w:szCs w:val="21"/>
              </w:rPr>
              <w:t>/扣分标准：项目推进困难问题属县（市）、飞地园区事权范围内，经州重推办书面转办问题困难后超二个月未解决或经三次书面通报指出同一问题，且无充分理由而拒不办理的，扣3分/起，扣完为止。</w:t>
            </w:r>
          </w:p>
        </w:tc>
        <w:tc>
          <w:tcPr>
            <w:tcW w:w="3953" w:type="dxa"/>
            <w:gridSpan w:val="2"/>
            <w:tcBorders>
              <w:top w:val="single" w:color="000000" w:sz="4" w:space="0"/>
              <w:left w:val="single" w:color="000000" w:sz="4" w:space="0"/>
              <w:bottom w:val="single" w:color="000000" w:sz="4" w:space="0"/>
              <w:right w:val="single" w:color="000000" w:sz="4" w:space="0"/>
            </w:tcBorders>
            <w:vAlign w:val="top"/>
          </w:tcPr>
          <w:p>
            <w:pPr>
              <w:pStyle w:val="2"/>
              <w:spacing w:line="280" w:lineRule="exact"/>
              <w:ind w:left="0" w:leftChars="0" w:firstLine="0" w:firstLineChars="0"/>
              <w:jc w:val="left"/>
              <w:rPr>
                <w:rFonts w:hint="eastAsia" w:ascii="Times New Roman" w:hAnsi="Times New Roman" w:eastAsia="仿宋_GB2312"/>
                <w:szCs w:val="21"/>
              </w:rPr>
            </w:pPr>
            <w:r>
              <w:rPr>
                <w:rFonts w:hint="eastAsia" w:ascii="Times New Roman" w:hAnsi="Times New Roman" w:eastAsia="仿宋_GB2312"/>
                <w:szCs w:val="21"/>
              </w:rPr>
              <w:t>加分</w:t>
            </w:r>
            <w:r>
              <w:rPr>
                <w:rFonts w:ascii="Times New Roman" w:hAnsi="Times New Roman" w:eastAsia="仿宋_GB2312"/>
                <w:szCs w:val="21"/>
              </w:rPr>
              <w:t>/扣分标准：代表省、州接受国家或省有关投资促进、项目推进方面专项检查获得肯定，分别加7分/起、5分/起；获得省级或州级表彰、作为成功案例印发或经验介绍的，分别加6分/起、3分/起。</w:t>
            </w:r>
          </w:p>
        </w:tc>
      </w:tr>
      <w:tr>
        <w:tblPrEx>
          <w:tblLayout w:type="fixed"/>
          <w:tblCellMar>
            <w:top w:w="15" w:type="dxa"/>
            <w:left w:w="15" w:type="dxa"/>
            <w:bottom w:w="15" w:type="dxa"/>
            <w:right w:w="15" w:type="dxa"/>
          </w:tblCellMar>
        </w:tblPrEx>
        <w:trPr>
          <w:trHeight w:val="55" w:hRule="atLeast"/>
          <w:jc w:val="center"/>
        </w:trPr>
        <w:tc>
          <w:tcPr>
            <w:tcW w:w="725" w:type="dxa"/>
            <w:vMerge w:val="continue"/>
            <w:tcBorders>
              <w:left w:val="single" w:color="000000" w:sz="4" w:space="0"/>
              <w:bottom w:val="single" w:color="000000" w:sz="4" w:space="0"/>
              <w:right w:val="single" w:color="000000" w:sz="4" w:space="0"/>
            </w:tcBorders>
            <w:vAlign w:val="top"/>
          </w:tcPr>
          <w:p>
            <w:pPr>
              <w:widowControl/>
              <w:spacing w:line="280" w:lineRule="exact"/>
              <w:jc w:val="center"/>
              <w:textAlignment w:val="center"/>
              <w:rPr>
                <w:rFonts w:ascii="Times New Roman" w:hAnsi="Times New Roman" w:eastAsia="仿宋_GB2312"/>
                <w:color w:val="000000"/>
                <w:kern w:val="0"/>
                <w:szCs w:val="21"/>
                <w:lang w:bidi="ar"/>
              </w:rPr>
            </w:pPr>
          </w:p>
        </w:tc>
        <w:tc>
          <w:tcPr>
            <w:tcW w:w="693"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p>
        </w:tc>
        <w:tc>
          <w:tcPr>
            <w:tcW w:w="1150"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kern w:val="0"/>
                <w:szCs w:val="21"/>
                <w:lang w:bidi="ar"/>
              </w:rPr>
            </w:pPr>
          </w:p>
        </w:tc>
        <w:tc>
          <w:tcPr>
            <w:tcW w:w="1543"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kern w:val="0"/>
                <w:szCs w:val="21"/>
                <w:lang w:bidi="ar"/>
              </w:rPr>
            </w:pPr>
          </w:p>
        </w:tc>
        <w:tc>
          <w:tcPr>
            <w:tcW w:w="1701"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kern w:val="0"/>
                <w:szCs w:val="21"/>
                <w:lang w:bidi="ar"/>
              </w:rPr>
            </w:pPr>
          </w:p>
        </w:tc>
        <w:tc>
          <w:tcPr>
            <w:tcW w:w="124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加（扣）分值</w:t>
            </w:r>
          </w:p>
        </w:tc>
        <w:tc>
          <w:tcPr>
            <w:tcW w:w="41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Times New Roman" w:hAnsi="Times New Roman" w:eastAsia="仿宋_GB2312"/>
                <w:color w:val="000000"/>
                <w:szCs w:val="21"/>
              </w:rPr>
            </w:pPr>
            <w:r>
              <w:rPr>
                <w:rFonts w:hint="eastAsia" w:ascii="Times New Roman" w:hAnsi="Times New Roman" w:eastAsia="仿宋_GB2312"/>
                <w:szCs w:val="21"/>
              </w:rPr>
              <w:t>具体</w:t>
            </w:r>
            <w:r>
              <w:rPr>
                <w:rFonts w:ascii="Times New Roman" w:hAnsi="Times New Roman" w:eastAsia="仿宋_GB2312"/>
                <w:szCs w:val="21"/>
              </w:rPr>
              <w:t>事由</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加（扣）分值</w:t>
            </w:r>
          </w:p>
        </w:tc>
        <w:tc>
          <w:tcPr>
            <w:tcW w:w="2678"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hint="eastAsia" w:ascii="Times New Roman" w:hAnsi="Times New Roman" w:eastAsia="仿宋_GB2312"/>
                <w:color w:val="000000"/>
                <w:szCs w:val="21"/>
              </w:rPr>
            </w:pPr>
            <w:r>
              <w:rPr>
                <w:rFonts w:hint="eastAsia" w:ascii="Times New Roman" w:hAnsi="Times New Roman" w:eastAsia="仿宋_GB2312"/>
                <w:szCs w:val="21"/>
              </w:rPr>
              <w:t>具体事由</w:t>
            </w:r>
          </w:p>
        </w:tc>
      </w:tr>
      <w:tr>
        <w:tblPrEx>
          <w:tblLayout w:type="fixed"/>
          <w:tblCellMar>
            <w:top w:w="15" w:type="dxa"/>
            <w:left w:w="15" w:type="dxa"/>
            <w:bottom w:w="15" w:type="dxa"/>
            <w:right w:w="15" w:type="dxa"/>
          </w:tblCellMar>
        </w:tblPrEx>
        <w:trPr>
          <w:trHeight w:val="325" w:hRule="atLeast"/>
          <w:jc w:val="center"/>
        </w:trPr>
        <w:tc>
          <w:tcPr>
            <w:tcW w:w="72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center"/>
              <w:textAlignment w:val="center"/>
              <w:rPr>
                <w:rFonts w:ascii="Times New Roman" w:hAnsi="Times New Roman" w:eastAsia="仿宋_GB2312"/>
                <w:color w:val="000000"/>
                <w:kern w:val="0"/>
                <w:szCs w:val="21"/>
                <w:lang w:bidi="ar"/>
              </w:rPr>
            </w:pPr>
          </w:p>
          <w:p>
            <w:pPr>
              <w:widowControl/>
              <w:spacing w:line="280" w:lineRule="exact"/>
              <w:jc w:val="center"/>
              <w:textAlignment w:val="center"/>
              <w:rPr>
                <w:rFonts w:hint="eastAsia" w:ascii="Times New Roman" w:hAnsi="Times New Roman" w:eastAsia="仿宋_GB2312"/>
                <w:color w:val="000000"/>
                <w:kern w:val="0"/>
                <w:szCs w:val="21"/>
                <w:lang w:bidi="ar"/>
              </w:rPr>
            </w:pPr>
          </w:p>
          <w:p>
            <w:pPr>
              <w:widowControl/>
              <w:spacing w:line="280" w:lineRule="exact"/>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马尔康</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2.06</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Times New Roman" w:hAnsi="Times New Roman" w:eastAsia="仿宋_GB2312"/>
                <w:color w:val="000000"/>
                <w:kern w:val="0"/>
                <w:szCs w:val="21"/>
                <w:lang w:bidi="ar"/>
              </w:rPr>
            </w:pPr>
            <w:r>
              <w:rPr>
                <w:rFonts w:hint="eastAsia" w:ascii="Times New Roman" w:hAnsi="Times New Roman" w:eastAsia="仿宋_GB2312"/>
                <w:color w:val="000000"/>
                <w:kern w:val="0"/>
                <w:szCs w:val="21"/>
                <w:lang w:bidi="ar"/>
              </w:rPr>
              <w:t>6.81</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0.25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-2</w:t>
            </w:r>
          </w:p>
        </w:tc>
        <w:tc>
          <w:tcPr>
            <w:tcW w:w="124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w:t>
            </w:r>
            <w:r>
              <w:rPr>
                <w:rFonts w:ascii="Times New Roman" w:hAnsi="Times New Roman" w:eastAsia="仿宋_GB2312"/>
                <w:color w:val="000000"/>
                <w:szCs w:val="21"/>
              </w:rPr>
              <w:t>3</w:t>
            </w:r>
          </w:p>
        </w:tc>
        <w:tc>
          <w:tcPr>
            <w:tcW w:w="41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《关于</w:t>
            </w:r>
            <w:r>
              <w:rPr>
                <w:rFonts w:ascii="Times New Roman" w:hAnsi="Times New Roman" w:eastAsia="仿宋_GB2312"/>
                <w:color w:val="000000"/>
                <w:szCs w:val="21"/>
              </w:rPr>
              <w:t>2020年3月重点项目推进困难问题及诉求转办责任分工的通知</w:t>
            </w:r>
            <w:r>
              <w:rPr>
                <w:rFonts w:hint="eastAsia" w:ascii="Times New Roman" w:hAnsi="Times New Roman" w:eastAsia="仿宋_GB2312"/>
                <w:color w:val="000000"/>
                <w:szCs w:val="21"/>
              </w:rPr>
              <w:t>》（阿州重办〔</w:t>
            </w:r>
            <w:r>
              <w:rPr>
                <w:rFonts w:ascii="Times New Roman" w:hAnsi="Times New Roman" w:eastAsia="仿宋_GB2312"/>
                <w:color w:val="000000"/>
                <w:szCs w:val="21"/>
              </w:rPr>
              <w:t>2020〕4号</w:t>
            </w:r>
            <w:r>
              <w:rPr>
                <w:rFonts w:hint="eastAsia" w:ascii="Times New Roman" w:hAnsi="Times New Roman" w:eastAsia="仿宋_GB2312"/>
                <w:color w:val="000000"/>
                <w:szCs w:val="21"/>
              </w:rPr>
              <w:t>）有关卓小路电力、通信杆线迁改转办事项，超2个月未解决也未书面说明情况。</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hint="eastAsia" w:ascii="Times New Roman" w:hAnsi="Times New Roman" w:eastAsia="仿宋_GB2312"/>
                <w:color w:val="000000"/>
                <w:szCs w:val="21"/>
              </w:rPr>
            </w:pPr>
          </w:p>
        </w:tc>
        <w:tc>
          <w:tcPr>
            <w:tcW w:w="2678"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hint="eastAsia" w:ascii="Times New Roman" w:hAnsi="Times New Roman" w:eastAsia="仿宋_GB2312"/>
                <w:color w:val="000000"/>
                <w:szCs w:val="21"/>
              </w:rPr>
            </w:pPr>
          </w:p>
        </w:tc>
      </w:tr>
      <w:tr>
        <w:tblPrEx>
          <w:tblLayout w:type="fixed"/>
          <w:tblCellMar>
            <w:top w:w="15" w:type="dxa"/>
            <w:left w:w="15" w:type="dxa"/>
            <w:bottom w:w="15" w:type="dxa"/>
            <w:right w:w="15" w:type="dxa"/>
          </w:tblCellMar>
        </w:tblPrEx>
        <w:trPr>
          <w:trHeight w:val="333" w:hRule="atLeast"/>
          <w:jc w:val="center"/>
        </w:trPr>
        <w:tc>
          <w:tcPr>
            <w:tcW w:w="72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金  川</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10.57</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8.31</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0.26</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p>
        </w:tc>
        <w:tc>
          <w:tcPr>
            <w:tcW w:w="416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Times New Roman" w:hAnsi="Times New Roman" w:eastAsia="仿宋_GB2312"/>
                <w:color w:val="000000"/>
                <w:szCs w:val="21"/>
              </w:rPr>
            </w:pPr>
          </w:p>
        </w:tc>
        <w:tc>
          <w:tcPr>
            <w:tcW w:w="127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textAlignment w:val="center"/>
              <w:rPr>
                <w:rFonts w:ascii="Times New Roman" w:hAnsi="Times New Roman" w:eastAsia="仿宋_GB2312"/>
                <w:color w:val="000000"/>
                <w:szCs w:val="21"/>
              </w:rPr>
            </w:pPr>
          </w:p>
        </w:tc>
        <w:tc>
          <w:tcPr>
            <w:tcW w:w="2678"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textAlignment w:val="center"/>
              <w:rPr>
                <w:rFonts w:ascii="Times New Roman" w:hAnsi="Times New Roman" w:eastAsia="仿宋_GB2312"/>
                <w:color w:val="000000"/>
                <w:szCs w:val="21"/>
              </w:rPr>
            </w:pPr>
          </w:p>
        </w:tc>
      </w:tr>
      <w:tr>
        <w:tblPrEx>
          <w:tblLayout w:type="fixed"/>
          <w:tblCellMar>
            <w:top w:w="15" w:type="dxa"/>
            <w:left w:w="15" w:type="dxa"/>
            <w:bottom w:w="15" w:type="dxa"/>
            <w:right w:w="15" w:type="dxa"/>
          </w:tblCellMar>
        </w:tblPrEx>
        <w:trPr>
          <w:trHeight w:val="423"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0" w:leftChars="0" w:right="0" w:rightChars="0" w:firstLine="0" w:firstLineChars="0"/>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小  金</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7.29</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8.16</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0.15</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1.98</w:t>
            </w:r>
          </w:p>
        </w:tc>
        <w:tc>
          <w:tcPr>
            <w:tcW w:w="124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w:t>
            </w:r>
            <w:r>
              <w:rPr>
                <w:rFonts w:ascii="Times New Roman" w:hAnsi="Times New Roman" w:eastAsia="仿宋_GB2312"/>
                <w:color w:val="000000"/>
                <w:szCs w:val="21"/>
              </w:rPr>
              <w:t>3</w:t>
            </w:r>
          </w:p>
        </w:tc>
        <w:tc>
          <w:tcPr>
            <w:tcW w:w="41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Times New Roman" w:hAnsi="Times New Roman" w:eastAsia="仿宋_GB2312"/>
                <w:color w:val="000000"/>
                <w:szCs w:val="21"/>
              </w:rPr>
            </w:pPr>
            <w:r>
              <w:rPr>
                <w:rFonts w:hint="eastAsia" w:ascii="Times New Roman" w:hAnsi="Times New Roman" w:eastAsia="仿宋_GB2312"/>
                <w:color w:val="000000"/>
                <w:szCs w:val="21"/>
              </w:rPr>
              <w:t>未按照《部分重点交通项目建设推进协调会议纪要》（阿州重办阅〔</w:t>
            </w:r>
            <w:r>
              <w:rPr>
                <w:rFonts w:ascii="Times New Roman" w:hAnsi="Times New Roman" w:eastAsia="仿宋_GB2312"/>
                <w:color w:val="000000"/>
                <w:szCs w:val="21"/>
              </w:rPr>
              <w:t>2020〕1号）</w:t>
            </w:r>
            <w:r>
              <w:rPr>
                <w:rFonts w:hint="eastAsia" w:ascii="Times New Roman" w:hAnsi="Times New Roman" w:eastAsia="仿宋_GB2312"/>
                <w:color w:val="000000"/>
                <w:szCs w:val="21"/>
              </w:rPr>
              <w:t>有关</w:t>
            </w:r>
            <w:r>
              <w:rPr>
                <w:rFonts w:ascii="Times New Roman" w:hAnsi="Times New Roman" w:eastAsia="仿宋_GB2312"/>
                <w:color w:val="000000"/>
                <w:szCs w:val="21"/>
              </w:rPr>
              <w:t>交通扶贫项目于6月底</w:t>
            </w:r>
            <w:r>
              <w:rPr>
                <w:rFonts w:hint="eastAsia" w:ascii="Times New Roman" w:hAnsi="Times New Roman" w:eastAsia="仿宋_GB2312"/>
                <w:color w:val="000000"/>
                <w:szCs w:val="21"/>
              </w:rPr>
              <w:t>前</w:t>
            </w:r>
            <w:r>
              <w:rPr>
                <w:rFonts w:ascii="Times New Roman" w:hAnsi="Times New Roman" w:eastAsia="仿宋_GB2312"/>
                <w:color w:val="000000"/>
                <w:szCs w:val="21"/>
              </w:rPr>
              <w:t>完成</w:t>
            </w:r>
            <w:r>
              <w:rPr>
                <w:rFonts w:hint="eastAsia" w:ascii="Times New Roman" w:hAnsi="Times New Roman" w:eastAsia="仿宋_GB2312"/>
                <w:color w:val="000000"/>
                <w:szCs w:val="21"/>
              </w:rPr>
              <w:t>卓小路通信、电力</w:t>
            </w:r>
            <w:r>
              <w:rPr>
                <w:rFonts w:ascii="Times New Roman" w:hAnsi="Times New Roman" w:eastAsia="仿宋_GB2312"/>
                <w:color w:val="000000"/>
                <w:szCs w:val="21"/>
              </w:rPr>
              <w:t>杆线</w:t>
            </w:r>
            <w:r>
              <w:rPr>
                <w:rFonts w:hint="eastAsia" w:ascii="Times New Roman" w:hAnsi="Times New Roman" w:eastAsia="仿宋_GB2312"/>
                <w:color w:val="000000"/>
                <w:szCs w:val="21"/>
              </w:rPr>
              <w:t>迁改交办事宜</w:t>
            </w:r>
            <w:r>
              <w:rPr>
                <w:rFonts w:ascii="Times New Roman" w:hAnsi="Times New Roman" w:eastAsia="仿宋_GB2312"/>
                <w:color w:val="000000"/>
                <w:szCs w:val="21"/>
              </w:rPr>
              <w:t>。</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hint="eastAsia" w:ascii="Times New Roman" w:hAnsi="Times New Roman" w:eastAsia="仿宋_GB2312"/>
                <w:color w:val="000000"/>
                <w:szCs w:val="21"/>
              </w:rPr>
            </w:pPr>
          </w:p>
        </w:tc>
        <w:tc>
          <w:tcPr>
            <w:tcW w:w="2678"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hint="eastAsia" w:ascii="Times New Roman" w:hAnsi="Times New Roman" w:eastAsia="仿宋_GB2312"/>
                <w:color w:val="000000"/>
                <w:szCs w:val="21"/>
              </w:rPr>
            </w:pPr>
          </w:p>
        </w:tc>
      </w:tr>
      <w:tr>
        <w:tblPrEx>
          <w:tblLayout w:type="fixed"/>
          <w:tblCellMar>
            <w:top w:w="15" w:type="dxa"/>
            <w:left w:w="15" w:type="dxa"/>
            <w:bottom w:w="15" w:type="dxa"/>
            <w:right w:w="15" w:type="dxa"/>
          </w:tblCellMar>
        </w:tblPrEx>
        <w:trPr>
          <w:trHeight w:val="245"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0" w:leftChars="0" w:right="0" w:rightChars="0" w:firstLine="0" w:firstLineChars="0"/>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阿坝县</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9.87</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7.71</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0.16</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hint="eastAsia" w:ascii="Times New Roman" w:hAnsi="Times New Roman" w:eastAsia="仿宋_GB2312"/>
                <w:color w:val="000000"/>
                <w:szCs w:val="21"/>
              </w:rPr>
            </w:pPr>
          </w:p>
        </w:tc>
        <w:tc>
          <w:tcPr>
            <w:tcW w:w="416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hint="eastAsia" w:ascii="Times New Roman" w:hAnsi="Times New Roman" w:eastAsia="仿宋_GB2312"/>
                <w:color w:val="000000"/>
                <w:szCs w:val="21"/>
              </w:rPr>
            </w:pPr>
          </w:p>
        </w:tc>
        <w:tc>
          <w:tcPr>
            <w:tcW w:w="127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textAlignment w:val="center"/>
              <w:rPr>
                <w:rFonts w:ascii="Times New Roman" w:hAnsi="Times New Roman" w:eastAsia="仿宋_GB2312"/>
                <w:color w:val="000000"/>
                <w:szCs w:val="21"/>
              </w:rPr>
            </w:pPr>
          </w:p>
        </w:tc>
        <w:tc>
          <w:tcPr>
            <w:tcW w:w="2678"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textAlignment w:val="center"/>
              <w:rPr>
                <w:rFonts w:ascii="Times New Roman" w:hAnsi="Times New Roman" w:eastAsia="仿宋_GB2312"/>
                <w:color w:val="000000"/>
                <w:szCs w:val="21"/>
              </w:rPr>
            </w:pPr>
          </w:p>
        </w:tc>
      </w:tr>
      <w:tr>
        <w:tblPrEx>
          <w:tblLayout w:type="fixed"/>
          <w:tblCellMar>
            <w:top w:w="15" w:type="dxa"/>
            <w:left w:w="15" w:type="dxa"/>
            <w:bottom w:w="15" w:type="dxa"/>
            <w:right w:w="15" w:type="dxa"/>
          </w:tblCellMar>
        </w:tblPrEx>
        <w:trPr>
          <w:trHeight w:val="425"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0" w:leftChars="0" w:right="0" w:rightChars="0" w:firstLine="0" w:firstLineChars="0"/>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若尔盖</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9.53</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8.26</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0</w:t>
            </w:r>
            <w:r>
              <w:rPr>
                <w:rFonts w:ascii="Times New Roman" w:hAnsi="Times New Roman" w:eastAsia="仿宋_GB2312"/>
                <w:color w:val="000000"/>
                <w:szCs w:val="21"/>
              </w:rPr>
              <w:t>.11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1.16</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p>
        </w:tc>
        <w:tc>
          <w:tcPr>
            <w:tcW w:w="416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olor w:val="000000"/>
                <w:szCs w:val="21"/>
              </w:rPr>
            </w:pPr>
          </w:p>
        </w:tc>
        <w:tc>
          <w:tcPr>
            <w:tcW w:w="127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textAlignment w:val="center"/>
              <w:rPr>
                <w:rFonts w:ascii="Times New Roman" w:hAnsi="Times New Roman" w:eastAsia="仿宋_GB2312"/>
                <w:color w:val="000000"/>
                <w:szCs w:val="21"/>
              </w:rPr>
            </w:pPr>
          </w:p>
        </w:tc>
        <w:tc>
          <w:tcPr>
            <w:tcW w:w="2678"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textAlignment w:val="center"/>
              <w:rPr>
                <w:rFonts w:ascii="Times New Roman" w:hAnsi="Times New Roman" w:eastAsia="仿宋_GB2312"/>
                <w:color w:val="000000"/>
                <w:szCs w:val="21"/>
              </w:rPr>
            </w:pPr>
          </w:p>
        </w:tc>
      </w:tr>
      <w:tr>
        <w:tblPrEx>
          <w:tblLayout w:type="fixed"/>
          <w:tblCellMar>
            <w:top w:w="15" w:type="dxa"/>
            <w:left w:w="15" w:type="dxa"/>
            <w:bottom w:w="15" w:type="dxa"/>
            <w:right w:w="15" w:type="dxa"/>
          </w:tblCellMar>
        </w:tblPrEx>
        <w:trPr>
          <w:trHeight w:val="426" w:hRule="atLeast"/>
          <w:jc w:val="center"/>
        </w:trPr>
        <w:tc>
          <w:tcPr>
            <w:tcW w:w="72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center"/>
              <w:textAlignment w:val="center"/>
              <w:rPr>
                <w:rFonts w:hint="eastAsia" w:ascii="Times New Roman" w:hAnsi="Times New Roman" w:eastAsia="仿宋_GB2312"/>
                <w:color w:val="000000"/>
                <w:kern w:val="0"/>
                <w:szCs w:val="21"/>
                <w:lang w:bidi="ar"/>
              </w:rPr>
            </w:pPr>
          </w:p>
          <w:p>
            <w:pPr>
              <w:widowControl/>
              <w:spacing w:line="280" w:lineRule="exact"/>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红  原</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6.90</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7.79</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0</w:t>
            </w:r>
            <w:r>
              <w:rPr>
                <w:rFonts w:ascii="Times New Roman" w:hAnsi="Times New Roman" w:eastAsia="仿宋_GB2312"/>
                <w:color w:val="000000"/>
                <w:szCs w:val="21"/>
              </w:rPr>
              <w:t>.11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124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w:t>
            </w:r>
            <w:r>
              <w:rPr>
                <w:rFonts w:ascii="Times New Roman" w:hAnsi="Times New Roman" w:eastAsia="仿宋_GB2312"/>
                <w:color w:val="000000"/>
                <w:szCs w:val="21"/>
              </w:rPr>
              <w:t>3</w:t>
            </w:r>
          </w:p>
        </w:tc>
        <w:tc>
          <w:tcPr>
            <w:tcW w:w="41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未按照《部分重点交通项目建设推进协调会议纪要》（阿州重办阅〔</w:t>
            </w:r>
            <w:r>
              <w:rPr>
                <w:rFonts w:ascii="Times New Roman" w:hAnsi="Times New Roman" w:eastAsia="仿宋_GB2312"/>
                <w:color w:val="000000"/>
                <w:szCs w:val="21"/>
              </w:rPr>
              <w:t>2020〕1号）</w:t>
            </w:r>
            <w:r>
              <w:rPr>
                <w:rFonts w:hint="eastAsia" w:ascii="Times New Roman" w:hAnsi="Times New Roman" w:eastAsia="仿宋_GB2312"/>
                <w:color w:val="000000"/>
                <w:szCs w:val="21"/>
              </w:rPr>
              <w:t>有关</w:t>
            </w:r>
            <w:r>
              <w:rPr>
                <w:rFonts w:ascii="Times New Roman" w:hAnsi="Times New Roman" w:eastAsia="仿宋_GB2312"/>
                <w:color w:val="000000"/>
                <w:szCs w:val="21"/>
              </w:rPr>
              <w:t>交通扶贫项目于6月底</w:t>
            </w:r>
            <w:r>
              <w:rPr>
                <w:rFonts w:hint="eastAsia" w:ascii="Times New Roman" w:hAnsi="Times New Roman" w:eastAsia="仿宋_GB2312"/>
                <w:color w:val="000000"/>
                <w:szCs w:val="21"/>
              </w:rPr>
              <w:t>前</w:t>
            </w:r>
            <w:r>
              <w:rPr>
                <w:rFonts w:ascii="Times New Roman" w:hAnsi="Times New Roman" w:eastAsia="仿宋_GB2312"/>
                <w:color w:val="000000"/>
                <w:szCs w:val="21"/>
              </w:rPr>
              <w:t>完成</w:t>
            </w:r>
            <w:r>
              <w:rPr>
                <w:rFonts w:hint="eastAsia" w:ascii="Times New Roman" w:hAnsi="Times New Roman" w:eastAsia="仿宋_GB2312"/>
                <w:color w:val="000000"/>
                <w:szCs w:val="21"/>
              </w:rPr>
              <w:t>茂红路通信、电力</w:t>
            </w:r>
            <w:r>
              <w:rPr>
                <w:rFonts w:ascii="Times New Roman" w:hAnsi="Times New Roman" w:eastAsia="仿宋_GB2312"/>
                <w:color w:val="000000"/>
                <w:szCs w:val="21"/>
              </w:rPr>
              <w:t>杆线</w:t>
            </w:r>
            <w:r>
              <w:rPr>
                <w:rFonts w:hint="eastAsia" w:ascii="Times New Roman" w:hAnsi="Times New Roman" w:eastAsia="仿宋_GB2312"/>
                <w:color w:val="000000"/>
                <w:szCs w:val="21"/>
              </w:rPr>
              <w:t>迁改交办事宜</w:t>
            </w:r>
            <w:r>
              <w:rPr>
                <w:rFonts w:ascii="Times New Roman" w:hAnsi="Times New Roman" w:eastAsia="仿宋_GB2312"/>
                <w:color w:val="000000"/>
                <w:szCs w:val="21"/>
              </w:rPr>
              <w:t>。</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hint="eastAsia" w:ascii="Times New Roman" w:hAnsi="Times New Roman" w:eastAsia="仿宋_GB2312"/>
                <w:color w:val="000000"/>
                <w:szCs w:val="21"/>
              </w:rPr>
            </w:pPr>
          </w:p>
        </w:tc>
        <w:tc>
          <w:tcPr>
            <w:tcW w:w="2678"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hint="eastAsia" w:ascii="Times New Roman" w:hAnsi="Times New Roman" w:eastAsia="仿宋_GB2312"/>
                <w:color w:val="000000"/>
                <w:szCs w:val="21"/>
              </w:rPr>
            </w:pPr>
          </w:p>
        </w:tc>
      </w:tr>
      <w:tr>
        <w:tblPrEx>
          <w:tblLayout w:type="fixed"/>
          <w:tblCellMar>
            <w:top w:w="15" w:type="dxa"/>
            <w:left w:w="15" w:type="dxa"/>
            <w:bottom w:w="15" w:type="dxa"/>
            <w:right w:w="15" w:type="dxa"/>
          </w:tblCellMar>
        </w:tblPrEx>
        <w:trPr>
          <w:trHeight w:val="450"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0" w:leftChars="0" w:right="0" w:rightChars="0" w:firstLine="0" w:firstLineChars="0"/>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壤  塘</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7.91</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7.78</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0</w:t>
            </w:r>
            <w:r>
              <w:rPr>
                <w:rFonts w:ascii="Times New Roman" w:hAnsi="Times New Roman" w:eastAsia="仿宋_GB2312"/>
                <w:color w:val="000000"/>
                <w:szCs w:val="21"/>
              </w:rPr>
              <w:t>.07</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0.06</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p>
        </w:tc>
        <w:tc>
          <w:tcPr>
            <w:tcW w:w="416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olor w:val="000000"/>
                <w:szCs w:val="21"/>
              </w:rPr>
            </w:pPr>
          </w:p>
        </w:tc>
        <w:tc>
          <w:tcPr>
            <w:tcW w:w="127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textAlignment w:val="center"/>
              <w:rPr>
                <w:rFonts w:ascii="Times New Roman" w:hAnsi="Times New Roman" w:eastAsia="仿宋_GB2312"/>
                <w:color w:val="000000"/>
                <w:szCs w:val="21"/>
              </w:rPr>
            </w:pPr>
          </w:p>
        </w:tc>
        <w:tc>
          <w:tcPr>
            <w:tcW w:w="2678"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textAlignment w:val="center"/>
              <w:rPr>
                <w:rFonts w:ascii="Times New Roman" w:hAnsi="Times New Roman" w:eastAsia="仿宋_GB2312"/>
                <w:color w:val="000000"/>
                <w:szCs w:val="21"/>
              </w:rPr>
            </w:pPr>
          </w:p>
        </w:tc>
      </w:tr>
      <w:tr>
        <w:tblPrEx>
          <w:tblLayout w:type="fixed"/>
          <w:tblCellMar>
            <w:top w:w="15" w:type="dxa"/>
            <w:left w:w="15" w:type="dxa"/>
            <w:bottom w:w="15" w:type="dxa"/>
            <w:right w:w="15" w:type="dxa"/>
          </w:tblCellMar>
        </w:tblPrEx>
        <w:trPr>
          <w:trHeight w:val="399" w:hRule="atLeast"/>
          <w:jc w:val="center"/>
        </w:trPr>
        <w:tc>
          <w:tcPr>
            <w:tcW w:w="72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center"/>
              <w:textAlignment w:val="center"/>
              <w:rPr>
                <w:rFonts w:hint="eastAsia" w:ascii="Times New Roman" w:hAnsi="Times New Roman" w:eastAsia="仿宋_GB2312"/>
                <w:color w:val="000000"/>
                <w:kern w:val="0"/>
                <w:szCs w:val="21"/>
                <w:lang w:bidi="ar"/>
              </w:rPr>
            </w:pPr>
          </w:p>
          <w:p>
            <w:pPr>
              <w:pStyle w:val="2"/>
              <w:jc w:val="center"/>
              <w:rPr>
                <w:lang w:bidi="ar"/>
              </w:rPr>
            </w:pPr>
          </w:p>
          <w:p>
            <w:pPr>
              <w:pStyle w:val="2"/>
              <w:jc w:val="center"/>
              <w:rPr>
                <w:rFonts w:hint="eastAsia"/>
                <w:lang w:bidi="ar"/>
              </w:rPr>
            </w:pPr>
            <w:r>
              <w:rPr>
                <w:rFonts w:hint="eastAsia"/>
                <w:lang w:bidi="ar"/>
              </w:rPr>
              <w:t>、</w:t>
            </w:r>
          </w:p>
          <w:p>
            <w:pPr>
              <w:widowControl/>
              <w:spacing w:line="280" w:lineRule="exact"/>
              <w:jc w:val="center"/>
              <w:textAlignment w:val="center"/>
              <w:rPr>
                <w:rFonts w:ascii="Times New Roman" w:hAnsi="Times New Roman" w:eastAsia="仿宋_GB2312"/>
                <w:color w:val="000000"/>
                <w:kern w:val="0"/>
                <w:szCs w:val="21"/>
                <w:lang w:bidi="ar"/>
              </w:rPr>
            </w:pPr>
            <w:r>
              <w:rPr>
                <w:rFonts w:hint="eastAsia" w:ascii="Times New Roman" w:hAnsi="Times New Roman" w:eastAsia="仿宋_GB2312"/>
                <w:color w:val="000000"/>
                <w:kern w:val="0"/>
                <w:szCs w:val="21"/>
                <w:lang w:bidi="ar"/>
              </w:rPr>
              <w:t>汶</w:t>
            </w:r>
            <w:r>
              <w:rPr>
                <w:rFonts w:ascii="Times New Roman" w:hAnsi="Times New Roman" w:eastAsia="仿宋_GB2312"/>
                <w:color w:val="000000"/>
                <w:kern w:val="0"/>
                <w:szCs w:val="21"/>
                <w:lang w:bidi="ar"/>
              </w:rPr>
              <w:t xml:space="preserve">  川</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16.27</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8.1</w:t>
            </w:r>
            <w:r>
              <w:rPr>
                <w:rFonts w:ascii="Times New Roman" w:hAnsi="Times New Roman" w:eastAsia="仿宋_GB2312"/>
                <w:color w:val="000000"/>
                <w:szCs w:val="21"/>
              </w:rPr>
              <w:t>0</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0</w:t>
            </w:r>
            <w:r>
              <w:rPr>
                <w:rFonts w:ascii="Times New Roman" w:hAnsi="Times New Roman" w:eastAsia="仿宋_GB2312"/>
                <w:color w:val="000000"/>
                <w:szCs w:val="21"/>
              </w:rPr>
              <w:t>.17</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p>
        </w:tc>
        <w:tc>
          <w:tcPr>
            <w:tcW w:w="416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olor w:val="000000"/>
                <w:szCs w:val="21"/>
              </w:rPr>
            </w:pPr>
          </w:p>
        </w:tc>
        <w:tc>
          <w:tcPr>
            <w:tcW w:w="127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textAlignment w:val="center"/>
              <w:rPr>
                <w:rFonts w:hint="eastAsia" w:ascii="Times New Roman" w:hAnsi="Times New Roman" w:eastAsia="仿宋_GB2312"/>
                <w:color w:val="000000"/>
                <w:szCs w:val="21"/>
              </w:rPr>
            </w:pPr>
          </w:p>
          <w:p>
            <w:pPr>
              <w:pStyle w:val="2"/>
              <w:ind w:left="0" w:leftChars="0" w:firstLine="0" w:firstLineChars="0"/>
              <w:rPr>
                <w:rFonts w:hint="eastAsia"/>
              </w:rPr>
            </w:pPr>
          </w:p>
          <w:p>
            <w:pPr>
              <w:widowControl/>
              <w:spacing w:line="280" w:lineRule="exact"/>
              <w:jc w:val="left"/>
              <w:textAlignment w:val="center"/>
              <w:rPr>
                <w:rFonts w:hint="eastAsia" w:ascii="Times New Roman" w:hAnsi="Times New Roman" w:eastAsia="仿宋_GB2312"/>
                <w:color w:val="000000"/>
                <w:szCs w:val="21"/>
              </w:rPr>
            </w:pPr>
          </w:p>
          <w:p>
            <w:pPr>
              <w:widowControl/>
              <w:spacing w:line="280" w:lineRule="exact"/>
              <w:ind w:firstLine="210" w:firstLineChars="100"/>
              <w:jc w:val="left"/>
              <w:textAlignment w:val="center"/>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w:t>
            </w:r>
            <w:r>
              <w:rPr>
                <w:rFonts w:ascii="Times New Roman" w:hAnsi="Times New Roman" w:eastAsia="仿宋_GB2312"/>
                <w:color w:val="000000"/>
                <w:szCs w:val="21"/>
              </w:rPr>
              <w:t>2</w:t>
            </w:r>
          </w:p>
        </w:tc>
        <w:tc>
          <w:tcPr>
            <w:tcW w:w="2678"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textAlignment w:val="center"/>
              <w:rPr>
                <w:rFonts w:ascii="华文宋体" w:hAnsi="华文宋体" w:eastAsia="华文宋体"/>
                <w:color w:val="000000"/>
                <w:szCs w:val="21"/>
              </w:rPr>
            </w:pPr>
            <w:r>
              <w:rPr>
                <w:rFonts w:ascii="Times New Roman" w:hAnsi="Times New Roman" w:eastAsia="仿宋_GB2312"/>
                <w:szCs w:val="21"/>
              </w:rPr>
              <w:t>①</w:t>
            </w:r>
            <w:r>
              <w:rPr>
                <w:rFonts w:hint="eastAsia" w:ascii="Times New Roman" w:hAnsi="Times New Roman" w:eastAsia="仿宋_GB2312"/>
                <w:color w:val="000000"/>
                <w:szCs w:val="21"/>
              </w:rPr>
              <w:t>《“两端、两精、过程监管”项目精准管理》作为典型案例以阿州重办函</w:t>
            </w:r>
            <w:r>
              <w:rPr>
                <w:rFonts w:hint="eastAsia" w:ascii="华文宋体" w:hAnsi="华文宋体" w:eastAsia="华文宋体"/>
                <w:color w:val="000000"/>
                <w:szCs w:val="21"/>
              </w:rPr>
              <w:t>〔2</w:t>
            </w:r>
            <w:r>
              <w:rPr>
                <w:rFonts w:ascii="华文宋体" w:hAnsi="华文宋体" w:eastAsia="华文宋体"/>
                <w:color w:val="000000"/>
                <w:szCs w:val="21"/>
              </w:rPr>
              <w:t>020</w:t>
            </w:r>
            <w:r>
              <w:rPr>
                <w:rFonts w:hint="eastAsia" w:ascii="华文宋体" w:hAnsi="华文宋体" w:eastAsia="华文宋体"/>
                <w:color w:val="000000"/>
                <w:szCs w:val="21"/>
              </w:rPr>
              <w:t>〕</w:t>
            </w:r>
            <w:r>
              <w:rPr>
                <w:rFonts w:ascii="华文宋体" w:hAnsi="华文宋体" w:eastAsia="华文宋体"/>
                <w:color w:val="000000"/>
                <w:szCs w:val="21"/>
              </w:rPr>
              <w:t>2</w:t>
            </w:r>
            <w:r>
              <w:rPr>
                <w:rFonts w:hint="eastAsia" w:ascii="华文宋体" w:hAnsi="华文宋体" w:eastAsia="华文宋体"/>
                <w:color w:val="000000"/>
                <w:szCs w:val="21"/>
              </w:rPr>
              <w:t>号</w:t>
            </w:r>
            <w:r>
              <w:rPr>
                <w:rFonts w:hint="eastAsia" w:ascii="Times New Roman" w:hAnsi="Times New Roman" w:eastAsia="仿宋_GB2312"/>
                <w:color w:val="000000"/>
                <w:szCs w:val="21"/>
              </w:rPr>
              <w:t>在全州作经验推广</w:t>
            </w:r>
            <w:r>
              <w:rPr>
                <w:rFonts w:hint="eastAsia" w:ascii="华文宋体" w:hAnsi="华文宋体" w:eastAsia="华文宋体"/>
                <w:color w:val="000000"/>
                <w:szCs w:val="21"/>
              </w:rPr>
              <w:t>；</w:t>
            </w:r>
          </w:p>
          <w:p>
            <w:pPr>
              <w:widowControl/>
              <w:spacing w:line="280" w:lineRule="exact"/>
              <w:jc w:val="left"/>
              <w:textAlignment w:val="center"/>
              <w:rPr>
                <w:rFonts w:ascii="Times New Roman" w:hAnsi="Times New Roman" w:eastAsia="仿宋_GB2312"/>
                <w:color w:val="000000"/>
                <w:szCs w:val="21"/>
              </w:rPr>
            </w:pPr>
            <w:r>
              <w:rPr>
                <w:rFonts w:ascii="Times New Roman" w:hAnsi="Times New Roman" w:eastAsia="仿宋_GB2312"/>
                <w:szCs w:val="21"/>
              </w:rPr>
              <w:t>②</w:t>
            </w:r>
            <w:r>
              <w:rPr>
                <w:rFonts w:hint="eastAsia" w:ascii="Times New Roman" w:hAnsi="Times New Roman" w:eastAsia="仿宋_GB2312"/>
                <w:color w:val="000000"/>
                <w:szCs w:val="21"/>
              </w:rPr>
              <w:t>《建立“周转金”调节池助推灾后恢复重建》作为典型案例以阿州重办</w:t>
            </w:r>
            <w:r>
              <w:rPr>
                <w:rFonts w:hint="eastAsia" w:ascii="华文宋体" w:hAnsi="华文宋体" w:eastAsia="华文宋体"/>
                <w:color w:val="000000"/>
                <w:szCs w:val="21"/>
              </w:rPr>
              <w:t>〔2</w:t>
            </w:r>
            <w:r>
              <w:rPr>
                <w:rFonts w:ascii="华文宋体" w:hAnsi="华文宋体" w:eastAsia="华文宋体"/>
                <w:color w:val="000000"/>
                <w:szCs w:val="21"/>
              </w:rPr>
              <w:t>020</w:t>
            </w:r>
            <w:r>
              <w:rPr>
                <w:rFonts w:hint="eastAsia" w:ascii="华文宋体" w:hAnsi="华文宋体" w:eastAsia="华文宋体"/>
                <w:color w:val="000000"/>
                <w:szCs w:val="21"/>
              </w:rPr>
              <w:t>〕5号</w:t>
            </w:r>
            <w:r>
              <w:rPr>
                <w:rFonts w:hint="eastAsia" w:ascii="Times New Roman" w:hAnsi="Times New Roman" w:eastAsia="仿宋_GB2312"/>
                <w:color w:val="000000"/>
                <w:szCs w:val="21"/>
              </w:rPr>
              <w:t>在全州作经验推广。</w:t>
            </w:r>
          </w:p>
        </w:tc>
      </w:tr>
      <w:tr>
        <w:tblPrEx>
          <w:tblLayout w:type="fixed"/>
          <w:tblCellMar>
            <w:top w:w="15" w:type="dxa"/>
            <w:left w:w="15" w:type="dxa"/>
            <w:bottom w:w="15" w:type="dxa"/>
            <w:right w:w="15" w:type="dxa"/>
          </w:tblCellMar>
        </w:tblPrEx>
        <w:trPr>
          <w:trHeight w:val="422" w:hRule="atLeast"/>
          <w:jc w:val="center"/>
        </w:trPr>
        <w:tc>
          <w:tcPr>
            <w:tcW w:w="72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center"/>
              <w:textAlignment w:val="center"/>
              <w:rPr>
                <w:rFonts w:ascii="Times New Roman" w:hAnsi="Times New Roman" w:eastAsia="仿宋_GB2312"/>
                <w:color w:val="000000"/>
                <w:kern w:val="0"/>
                <w:szCs w:val="21"/>
                <w:lang w:bidi="ar"/>
              </w:rPr>
            </w:pPr>
          </w:p>
          <w:p>
            <w:pPr>
              <w:widowControl/>
              <w:spacing w:line="280" w:lineRule="exact"/>
              <w:jc w:val="center"/>
              <w:textAlignment w:val="center"/>
              <w:rPr>
                <w:rFonts w:hint="eastAsia" w:ascii="Times New Roman" w:hAnsi="Times New Roman" w:eastAsia="仿宋_GB2312"/>
                <w:color w:val="000000"/>
                <w:kern w:val="0"/>
                <w:szCs w:val="21"/>
                <w:lang w:bidi="ar"/>
              </w:rPr>
            </w:pPr>
          </w:p>
          <w:p>
            <w:pPr>
              <w:widowControl/>
              <w:spacing w:line="280" w:lineRule="exact"/>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理  县</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-0.56</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4.28</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0</w:t>
            </w:r>
            <w:r>
              <w:rPr>
                <w:rFonts w:ascii="Times New Roman" w:hAnsi="Times New Roman" w:eastAsia="仿宋_GB2312"/>
                <w:color w:val="000000"/>
                <w:szCs w:val="21"/>
              </w:rPr>
              <w:t>.16</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124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w:t>
            </w:r>
            <w:r>
              <w:rPr>
                <w:rFonts w:ascii="Times New Roman" w:hAnsi="Times New Roman" w:eastAsia="仿宋_GB2312"/>
                <w:color w:val="000000"/>
                <w:szCs w:val="21"/>
              </w:rPr>
              <w:t>3</w:t>
            </w:r>
          </w:p>
        </w:tc>
        <w:tc>
          <w:tcPr>
            <w:tcW w:w="41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《关于</w:t>
            </w:r>
            <w:r>
              <w:rPr>
                <w:rFonts w:ascii="Times New Roman" w:hAnsi="Times New Roman" w:eastAsia="仿宋_GB2312"/>
                <w:color w:val="000000"/>
                <w:szCs w:val="21"/>
              </w:rPr>
              <w:t>2020年3月重点项目推进困难问题及诉求转办责任分工的通知</w:t>
            </w:r>
            <w:r>
              <w:rPr>
                <w:rFonts w:hint="eastAsia" w:ascii="Times New Roman" w:hAnsi="Times New Roman" w:eastAsia="仿宋_GB2312"/>
                <w:color w:val="000000"/>
                <w:szCs w:val="21"/>
              </w:rPr>
              <w:t>》（阿州重办〔</w:t>
            </w:r>
            <w:r>
              <w:rPr>
                <w:rFonts w:ascii="Times New Roman" w:hAnsi="Times New Roman" w:eastAsia="仿宋_GB2312"/>
                <w:color w:val="000000"/>
                <w:szCs w:val="21"/>
              </w:rPr>
              <w:t>2020〕4号</w:t>
            </w:r>
            <w:r>
              <w:rPr>
                <w:rFonts w:hint="eastAsia" w:ascii="Times New Roman" w:hAnsi="Times New Roman" w:eastAsia="仿宋_GB2312"/>
                <w:color w:val="000000"/>
                <w:szCs w:val="21"/>
              </w:rPr>
              <w:t>）有关</w:t>
            </w:r>
            <w:r>
              <w:rPr>
                <w:rFonts w:ascii="Times New Roman" w:hAnsi="Times New Roman" w:eastAsia="仿宋_GB2312"/>
                <w:sz w:val="24"/>
                <w:szCs w:val="24"/>
              </w:rPr>
              <w:t>薛孟路延伸段资金缺口</w:t>
            </w:r>
            <w:r>
              <w:rPr>
                <w:rFonts w:hint="eastAsia" w:ascii="Times New Roman" w:hAnsi="Times New Roman" w:eastAsia="仿宋_GB2312"/>
                <w:color w:val="000000"/>
                <w:szCs w:val="21"/>
              </w:rPr>
              <w:t>转办事项，超2个月未解决也未书面说明情况。</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hint="eastAsia" w:ascii="Times New Roman" w:hAnsi="Times New Roman" w:eastAsia="仿宋_GB2312"/>
                <w:color w:val="000000"/>
                <w:szCs w:val="21"/>
              </w:rPr>
            </w:pPr>
          </w:p>
        </w:tc>
        <w:tc>
          <w:tcPr>
            <w:tcW w:w="2678"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hint="eastAsia" w:ascii="Times New Roman" w:hAnsi="Times New Roman" w:eastAsia="仿宋_GB2312"/>
                <w:color w:val="000000"/>
                <w:szCs w:val="21"/>
              </w:rPr>
            </w:pPr>
          </w:p>
        </w:tc>
      </w:tr>
      <w:tr>
        <w:tblPrEx>
          <w:tblLayout w:type="fixed"/>
          <w:tblCellMar>
            <w:top w:w="15" w:type="dxa"/>
            <w:left w:w="15" w:type="dxa"/>
            <w:bottom w:w="15" w:type="dxa"/>
            <w:right w:w="15" w:type="dxa"/>
          </w:tblCellMar>
        </w:tblPrEx>
        <w:trPr>
          <w:trHeight w:val="1300" w:hRule="atLeast"/>
          <w:jc w:val="center"/>
        </w:trPr>
        <w:tc>
          <w:tcPr>
            <w:tcW w:w="72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center"/>
              <w:textAlignment w:val="center"/>
              <w:rPr>
                <w:rFonts w:ascii="Times New Roman" w:hAnsi="Times New Roman" w:eastAsia="仿宋_GB2312"/>
                <w:color w:val="000000"/>
                <w:kern w:val="0"/>
                <w:szCs w:val="21"/>
                <w:lang w:bidi="ar"/>
              </w:rPr>
            </w:pPr>
          </w:p>
          <w:p>
            <w:pPr>
              <w:widowControl/>
              <w:spacing w:line="280" w:lineRule="exact"/>
              <w:jc w:val="center"/>
              <w:textAlignment w:val="center"/>
              <w:rPr>
                <w:rFonts w:hint="eastAsia" w:ascii="Times New Roman" w:hAnsi="Times New Roman" w:eastAsia="仿宋_GB2312"/>
                <w:color w:val="000000"/>
                <w:kern w:val="0"/>
                <w:szCs w:val="21"/>
                <w:lang w:bidi="ar"/>
              </w:rPr>
            </w:pPr>
          </w:p>
          <w:p>
            <w:pPr>
              <w:widowControl/>
              <w:spacing w:line="280" w:lineRule="exact"/>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茂  县</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5.60</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7.94</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0</w:t>
            </w:r>
            <w:r>
              <w:rPr>
                <w:rFonts w:ascii="Times New Roman" w:hAnsi="Times New Roman" w:eastAsia="仿宋_GB2312"/>
                <w:color w:val="000000"/>
                <w:szCs w:val="21"/>
              </w:rPr>
              <w:t>.14</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0.52</w:t>
            </w:r>
          </w:p>
        </w:tc>
        <w:tc>
          <w:tcPr>
            <w:tcW w:w="124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w:t>
            </w:r>
            <w:r>
              <w:rPr>
                <w:rFonts w:ascii="Times New Roman" w:hAnsi="Times New Roman" w:eastAsia="仿宋_GB2312"/>
                <w:color w:val="000000"/>
                <w:szCs w:val="21"/>
              </w:rPr>
              <w:t>3</w:t>
            </w:r>
          </w:p>
        </w:tc>
        <w:tc>
          <w:tcPr>
            <w:tcW w:w="41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《关于</w:t>
            </w:r>
            <w:r>
              <w:rPr>
                <w:rFonts w:ascii="Times New Roman" w:hAnsi="Times New Roman" w:eastAsia="仿宋_GB2312"/>
                <w:color w:val="000000"/>
                <w:szCs w:val="21"/>
              </w:rPr>
              <w:t>2020年3月重点项目推进困难问题及诉求转办责任分工的通知</w:t>
            </w:r>
            <w:r>
              <w:rPr>
                <w:rFonts w:hint="eastAsia" w:ascii="Times New Roman" w:hAnsi="Times New Roman" w:eastAsia="仿宋_GB2312"/>
                <w:color w:val="000000"/>
                <w:szCs w:val="21"/>
              </w:rPr>
              <w:t>》（阿州重办〔</w:t>
            </w:r>
            <w:r>
              <w:rPr>
                <w:rFonts w:ascii="Times New Roman" w:hAnsi="Times New Roman" w:eastAsia="仿宋_GB2312"/>
                <w:color w:val="000000"/>
                <w:szCs w:val="21"/>
              </w:rPr>
              <w:t>2020〕4号</w:t>
            </w:r>
            <w:r>
              <w:rPr>
                <w:rFonts w:hint="eastAsia" w:ascii="Times New Roman" w:hAnsi="Times New Roman" w:eastAsia="仿宋_GB2312"/>
                <w:color w:val="000000"/>
                <w:szCs w:val="21"/>
              </w:rPr>
              <w:t>）有关茂红路</w:t>
            </w:r>
            <w:r>
              <w:rPr>
                <w:rFonts w:ascii="Times New Roman" w:hAnsi="Times New Roman" w:eastAsia="仿宋_GB2312"/>
                <w:color w:val="000000"/>
                <w:szCs w:val="21"/>
              </w:rPr>
              <w:t>电力、通信杆线</w:t>
            </w:r>
            <w:r>
              <w:rPr>
                <w:rFonts w:hint="eastAsia" w:ascii="Times New Roman" w:hAnsi="Times New Roman" w:eastAsia="仿宋_GB2312"/>
                <w:color w:val="000000"/>
                <w:szCs w:val="21"/>
              </w:rPr>
              <w:t>迁改转办事项，超2个月未解决也未书面说明情况。</w:t>
            </w: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hint="eastAsia" w:ascii="Times New Roman" w:hAnsi="Times New Roman" w:eastAsia="仿宋_GB2312"/>
                <w:color w:val="000000"/>
                <w:szCs w:val="21"/>
              </w:rPr>
            </w:pPr>
          </w:p>
        </w:tc>
        <w:tc>
          <w:tcPr>
            <w:tcW w:w="2678"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hint="eastAsia" w:ascii="Times New Roman" w:hAnsi="Times New Roman" w:eastAsia="仿宋_GB2312"/>
                <w:color w:val="000000"/>
                <w:szCs w:val="21"/>
              </w:rPr>
            </w:pPr>
          </w:p>
        </w:tc>
      </w:tr>
      <w:tr>
        <w:tblPrEx>
          <w:tblLayout w:type="fixed"/>
          <w:tblCellMar>
            <w:top w:w="15" w:type="dxa"/>
            <w:left w:w="15" w:type="dxa"/>
            <w:bottom w:w="15" w:type="dxa"/>
            <w:right w:w="15" w:type="dxa"/>
          </w:tblCellMar>
        </w:tblPrEx>
        <w:trPr>
          <w:trHeight w:val="340" w:hRule="atLeast"/>
          <w:jc w:val="center"/>
        </w:trPr>
        <w:tc>
          <w:tcPr>
            <w:tcW w:w="725"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ind w:left="0" w:leftChars="0" w:right="0" w:rightChars="0" w:firstLine="0" w:firstLineChars="0"/>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松  潘</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5.05</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6.85</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0</w:t>
            </w:r>
            <w:r>
              <w:rPr>
                <w:rFonts w:ascii="Times New Roman" w:hAnsi="Times New Roman" w:eastAsia="仿宋_GB2312"/>
                <w:color w:val="000000"/>
                <w:szCs w:val="21"/>
              </w:rPr>
              <w:t>.20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124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olor w:val="000000"/>
                <w:szCs w:val="21"/>
              </w:rPr>
            </w:pPr>
          </w:p>
        </w:tc>
        <w:tc>
          <w:tcPr>
            <w:tcW w:w="41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olor w:val="000000"/>
                <w:szCs w:val="21"/>
              </w:rPr>
            </w:pP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ascii="Times New Roman" w:hAnsi="Times New Roman" w:eastAsia="仿宋_GB2312"/>
                <w:color w:val="000000"/>
                <w:szCs w:val="21"/>
              </w:rPr>
            </w:pPr>
          </w:p>
        </w:tc>
        <w:tc>
          <w:tcPr>
            <w:tcW w:w="2678"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ascii="Times New Roman" w:hAnsi="Times New Roman" w:eastAsia="仿宋_GB2312"/>
                <w:color w:val="000000"/>
                <w:szCs w:val="21"/>
              </w:rPr>
            </w:pPr>
          </w:p>
        </w:tc>
      </w:tr>
      <w:tr>
        <w:tblPrEx>
          <w:tblLayout w:type="fixed"/>
          <w:tblCellMar>
            <w:top w:w="15" w:type="dxa"/>
            <w:left w:w="15" w:type="dxa"/>
            <w:bottom w:w="15" w:type="dxa"/>
            <w:right w:w="15" w:type="dxa"/>
          </w:tblCellMar>
        </w:tblPrEx>
        <w:trPr>
          <w:trHeight w:val="237" w:hRule="atLeast"/>
          <w:jc w:val="center"/>
        </w:trPr>
        <w:tc>
          <w:tcPr>
            <w:tcW w:w="72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九寨沟</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7.26</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7.51</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0.41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-0.66</w:t>
            </w:r>
          </w:p>
        </w:tc>
        <w:tc>
          <w:tcPr>
            <w:tcW w:w="124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olor w:val="000000"/>
                <w:szCs w:val="21"/>
              </w:rPr>
            </w:pPr>
          </w:p>
        </w:tc>
        <w:tc>
          <w:tcPr>
            <w:tcW w:w="41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hint="eastAsia" w:ascii="Times New Roman" w:hAnsi="Times New Roman" w:eastAsia="仿宋_GB2312"/>
                <w:color w:val="000000"/>
                <w:szCs w:val="21"/>
              </w:rPr>
            </w:pP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hint="eastAsia" w:ascii="Times New Roman" w:hAnsi="Times New Roman" w:eastAsia="仿宋_GB2312"/>
                <w:color w:val="000000"/>
                <w:szCs w:val="21"/>
              </w:rPr>
            </w:pPr>
          </w:p>
        </w:tc>
        <w:tc>
          <w:tcPr>
            <w:tcW w:w="2678"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ascii="Times New Roman" w:hAnsi="Times New Roman" w:eastAsia="仿宋_GB2312"/>
                <w:color w:val="000000"/>
                <w:szCs w:val="21"/>
              </w:rPr>
            </w:pPr>
          </w:p>
        </w:tc>
      </w:tr>
      <w:tr>
        <w:tblPrEx>
          <w:tblLayout w:type="fixed"/>
          <w:tblCellMar>
            <w:top w:w="15" w:type="dxa"/>
            <w:left w:w="15" w:type="dxa"/>
            <w:bottom w:w="15" w:type="dxa"/>
            <w:right w:w="15" w:type="dxa"/>
          </w:tblCellMar>
        </w:tblPrEx>
        <w:trPr>
          <w:trHeight w:val="429" w:hRule="atLeast"/>
          <w:jc w:val="center"/>
        </w:trPr>
        <w:tc>
          <w:tcPr>
            <w:tcW w:w="72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center"/>
              <w:textAlignment w:val="center"/>
              <w:rPr>
                <w:rFonts w:hint="eastAsia" w:ascii="Times New Roman" w:hAnsi="Times New Roman" w:eastAsia="仿宋_GB2312"/>
                <w:color w:val="000000"/>
                <w:kern w:val="0"/>
                <w:szCs w:val="21"/>
                <w:lang w:bidi="ar"/>
              </w:rPr>
            </w:pPr>
          </w:p>
          <w:p>
            <w:pPr>
              <w:widowControl/>
              <w:spacing w:line="280" w:lineRule="exact"/>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黑  水</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5.43</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7.96</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0.13</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0.34</w:t>
            </w:r>
          </w:p>
        </w:tc>
        <w:tc>
          <w:tcPr>
            <w:tcW w:w="124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w:t>
            </w:r>
            <w:r>
              <w:rPr>
                <w:rFonts w:ascii="Times New Roman" w:hAnsi="Times New Roman" w:eastAsia="仿宋_GB2312"/>
                <w:color w:val="000000"/>
                <w:szCs w:val="21"/>
              </w:rPr>
              <w:t>3</w:t>
            </w:r>
          </w:p>
        </w:tc>
        <w:tc>
          <w:tcPr>
            <w:tcW w:w="416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《关于</w:t>
            </w:r>
            <w:r>
              <w:rPr>
                <w:rFonts w:ascii="Times New Roman" w:hAnsi="Times New Roman" w:eastAsia="仿宋_GB2312"/>
                <w:color w:val="000000"/>
                <w:szCs w:val="21"/>
              </w:rPr>
              <w:t>2020年3月重点项目推进困难问题及诉求转办责任分工的通知》（阿州重办〔2020〕4号）有关茂红路电力、通信杆线</w:t>
            </w:r>
            <w:r>
              <w:rPr>
                <w:rFonts w:hint="eastAsia" w:ascii="Times New Roman" w:hAnsi="Times New Roman" w:eastAsia="仿宋_GB2312"/>
                <w:color w:val="000000"/>
                <w:szCs w:val="21"/>
              </w:rPr>
              <w:t>迁改转办事项</w:t>
            </w:r>
            <w:r>
              <w:rPr>
                <w:rFonts w:ascii="Times New Roman" w:hAnsi="Times New Roman" w:eastAsia="仿宋_GB2312"/>
                <w:color w:val="000000"/>
                <w:szCs w:val="21"/>
              </w:rPr>
              <w:t>，超</w:t>
            </w:r>
            <w:r>
              <w:rPr>
                <w:rFonts w:hint="eastAsia" w:ascii="Times New Roman" w:hAnsi="Times New Roman" w:eastAsia="仿宋_GB2312"/>
                <w:color w:val="000000"/>
                <w:szCs w:val="21"/>
              </w:rPr>
              <w:t>2</w:t>
            </w:r>
            <w:r>
              <w:rPr>
                <w:rFonts w:ascii="Times New Roman" w:hAnsi="Times New Roman" w:eastAsia="仿宋_GB2312"/>
                <w:color w:val="000000"/>
                <w:szCs w:val="21"/>
              </w:rPr>
              <w:t>个月未解决也未</w:t>
            </w:r>
            <w:r>
              <w:rPr>
                <w:rFonts w:hint="eastAsia" w:ascii="Times New Roman" w:hAnsi="Times New Roman" w:eastAsia="仿宋_GB2312"/>
                <w:color w:val="000000"/>
                <w:szCs w:val="21"/>
              </w:rPr>
              <w:t>书面</w:t>
            </w:r>
            <w:r>
              <w:rPr>
                <w:rFonts w:ascii="Times New Roman" w:hAnsi="Times New Roman" w:eastAsia="仿宋_GB2312"/>
                <w:color w:val="000000"/>
                <w:szCs w:val="21"/>
              </w:rPr>
              <w:t>说明</w:t>
            </w:r>
            <w:r>
              <w:rPr>
                <w:rFonts w:hint="eastAsia" w:ascii="Times New Roman" w:hAnsi="Times New Roman" w:eastAsia="仿宋_GB2312"/>
                <w:color w:val="000000"/>
                <w:szCs w:val="21"/>
              </w:rPr>
              <w:t>情况</w:t>
            </w:r>
            <w:r>
              <w:rPr>
                <w:rFonts w:ascii="Times New Roman" w:hAnsi="Times New Roman" w:eastAsia="仿宋_GB2312"/>
                <w:color w:val="000000"/>
                <w:szCs w:val="21"/>
              </w:rPr>
              <w:t>。</w:t>
            </w:r>
          </w:p>
        </w:tc>
        <w:tc>
          <w:tcPr>
            <w:tcW w:w="127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textAlignment w:val="center"/>
              <w:rPr>
                <w:rFonts w:hint="eastAsia" w:ascii="Times New Roman" w:hAnsi="Times New Roman" w:eastAsia="仿宋_GB2312"/>
                <w:color w:val="000000"/>
                <w:szCs w:val="21"/>
              </w:rPr>
            </w:pPr>
          </w:p>
        </w:tc>
        <w:tc>
          <w:tcPr>
            <w:tcW w:w="2678"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left"/>
              <w:textAlignment w:val="center"/>
              <w:rPr>
                <w:rFonts w:hint="eastAsia" w:ascii="Times New Roman" w:hAnsi="Times New Roman" w:eastAsia="仿宋_GB2312"/>
                <w:color w:val="000000"/>
                <w:szCs w:val="21"/>
              </w:rPr>
            </w:pPr>
          </w:p>
        </w:tc>
      </w:tr>
      <w:tr>
        <w:tblPrEx>
          <w:tblLayout w:type="fixed"/>
          <w:tblCellMar>
            <w:top w:w="15" w:type="dxa"/>
            <w:left w:w="15" w:type="dxa"/>
            <w:bottom w:w="15" w:type="dxa"/>
            <w:right w:w="15" w:type="dxa"/>
          </w:tblCellMar>
        </w:tblPrEx>
        <w:trPr>
          <w:trHeight w:val="423" w:hRule="atLeast"/>
          <w:jc w:val="center"/>
        </w:trPr>
        <w:tc>
          <w:tcPr>
            <w:tcW w:w="72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成阿园区</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11.17</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9</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0</w:t>
            </w:r>
            <w:r>
              <w:rPr>
                <w:rFonts w:ascii="Times New Roman" w:hAnsi="Times New Roman" w:eastAsia="仿宋_GB2312"/>
                <w:color w:val="000000"/>
                <w:szCs w:val="21"/>
              </w:rPr>
              <w:t>.17</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124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olor w:val="000000"/>
                <w:szCs w:val="21"/>
              </w:rPr>
            </w:pPr>
          </w:p>
        </w:tc>
        <w:tc>
          <w:tcPr>
            <w:tcW w:w="41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olor w:val="000000"/>
                <w:szCs w:val="21"/>
              </w:rPr>
            </w:pP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ascii="Times New Roman" w:hAnsi="Times New Roman" w:eastAsia="仿宋_GB2312"/>
                <w:color w:val="000000"/>
                <w:szCs w:val="21"/>
              </w:rPr>
            </w:pPr>
          </w:p>
        </w:tc>
        <w:tc>
          <w:tcPr>
            <w:tcW w:w="2678"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ascii="Times New Roman" w:hAnsi="Times New Roman" w:eastAsia="仿宋_GB2312"/>
                <w:color w:val="000000"/>
                <w:szCs w:val="21"/>
              </w:rPr>
            </w:pPr>
          </w:p>
        </w:tc>
      </w:tr>
      <w:tr>
        <w:tblPrEx>
          <w:tblLayout w:type="fixed"/>
          <w:tblCellMar>
            <w:top w:w="15" w:type="dxa"/>
            <w:left w:w="15" w:type="dxa"/>
            <w:bottom w:w="15" w:type="dxa"/>
            <w:right w:w="15" w:type="dxa"/>
          </w:tblCellMar>
        </w:tblPrEx>
        <w:trPr>
          <w:trHeight w:val="429" w:hRule="atLeast"/>
          <w:jc w:val="center"/>
        </w:trPr>
        <w:tc>
          <w:tcPr>
            <w:tcW w:w="725"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center"/>
              <w:textAlignment w:val="center"/>
              <w:rPr>
                <w:rFonts w:ascii="Times New Roman" w:hAnsi="Times New Roman" w:eastAsia="仿宋_GB2312"/>
                <w:color w:val="000000"/>
                <w:kern w:val="0"/>
                <w:szCs w:val="21"/>
                <w:lang w:bidi="ar"/>
              </w:rPr>
            </w:pPr>
            <w:r>
              <w:rPr>
                <w:rFonts w:ascii="Times New Roman" w:hAnsi="Times New Roman" w:eastAsia="仿宋_GB2312"/>
                <w:color w:val="000000"/>
                <w:kern w:val="0"/>
                <w:szCs w:val="21"/>
                <w:lang w:bidi="ar"/>
              </w:rPr>
              <w:t>德阿园区</w:t>
            </w:r>
          </w:p>
        </w:tc>
        <w:tc>
          <w:tcPr>
            <w:tcW w:w="69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10.32</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8.31</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hint="eastAsia" w:ascii="Times New Roman" w:hAnsi="Times New Roman" w:eastAsia="仿宋_GB2312"/>
                <w:color w:val="000000"/>
                <w:szCs w:val="21"/>
              </w:rPr>
              <w:t>0</w:t>
            </w:r>
            <w:r>
              <w:rPr>
                <w:rFonts w:ascii="Times New Roman" w:hAnsi="Times New Roman" w:eastAsia="仿宋_GB2312"/>
                <w:color w:val="000000"/>
                <w:szCs w:val="21"/>
              </w:rPr>
              <w:t>.01</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124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olor w:val="000000"/>
                <w:szCs w:val="21"/>
              </w:rPr>
            </w:pPr>
          </w:p>
        </w:tc>
        <w:tc>
          <w:tcPr>
            <w:tcW w:w="41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olor w:val="000000"/>
                <w:szCs w:val="21"/>
              </w:rPr>
            </w:pPr>
          </w:p>
        </w:tc>
        <w:tc>
          <w:tcPr>
            <w:tcW w:w="1275"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ascii="Times New Roman" w:hAnsi="Times New Roman" w:eastAsia="仿宋_GB2312"/>
                <w:color w:val="000000"/>
                <w:szCs w:val="21"/>
              </w:rPr>
            </w:pPr>
          </w:p>
        </w:tc>
        <w:tc>
          <w:tcPr>
            <w:tcW w:w="2678" w:type="dxa"/>
            <w:tcBorders>
              <w:top w:val="single" w:color="000000" w:sz="4" w:space="0"/>
              <w:left w:val="single" w:color="000000" w:sz="4" w:space="0"/>
              <w:bottom w:val="single" w:color="000000" w:sz="4" w:space="0"/>
              <w:right w:val="single" w:color="000000" w:sz="4" w:space="0"/>
            </w:tcBorders>
            <w:vAlign w:val="top"/>
          </w:tcPr>
          <w:p>
            <w:pPr>
              <w:spacing w:line="280" w:lineRule="exact"/>
              <w:jc w:val="left"/>
              <w:rPr>
                <w:rFonts w:ascii="Times New Roman" w:hAnsi="Times New Roman" w:eastAsia="仿宋_GB2312"/>
                <w:color w:val="000000"/>
                <w:szCs w:val="21"/>
              </w:rPr>
            </w:pPr>
          </w:p>
        </w:tc>
      </w:tr>
    </w:tbl>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95FFE"/>
    <w:rsid w:val="62295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kern w:val="2"/>
      <w:sz w:val="21"/>
      <w:szCs w:val="22"/>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next w:val="2"/>
    <w:uiPriority w:val="0"/>
    <w:pPr>
      <w:spacing w:after="120"/>
      <w:ind w:left="420" w:leftChars="20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2020-07-30T09:18:00Z</dcterms:created>
  <dc:creator>索郎措</dc:creator>
  <cp:lastModifiedBy>索郎措</cp:lastModifiedBy>
  <dcterms:modified xsi:type="dcterms:W3CDTF">2020-07-30T09:19:15Z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