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hAnsi="Times New Roman" w:eastAsia="黑体"/>
          <w:sz w:val="32"/>
          <w:szCs w:val="32"/>
        </w:rPr>
      </w:pPr>
      <w:r>
        <w:rPr>
          <w:rFonts w:ascii="Times New Roman" w:hAnsi="Times New Roman" w:eastAsia="黑体"/>
          <w:sz w:val="32"/>
          <w:szCs w:val="32"/>
        </w:rPr>
        <w:t>附件2</w:t>
      </w:r>
    </w:p>
    <w:p>
      <w:pPr>
        <w:spacing w:line="560" w:lineRule="exact"/>
        <w:jc w:val="center"/>
        <w:rPr>
          <w:rFonts w:hint="eastAsia" w:ascii="Times New Roman" w:hAnsi="Times New Roman" w:eastAsia="方正小标宋简体"/>
          <w:spacing w:val="-23"/>
          <w:w w:val="95"/>
          <w:sz w:val="44"/>
          <w:szCs w:val="44"/>
        </w:rPr>
      </w:pPr>
    </w:p>
    <w:p>
      <w:pPr>
        <w:spacing w:line="560" w:lineRule="exact"/>
        <w:jc w:val="center"/>
        <w:rPr>
          <w:rFonts w:ascii="Times New Roman" w:hAnsi="Times New Roman" w:eastAsia="方正小标宋简体"/>
          <w:spacing w:val="-23"/>
          <w:w w:val="95"/>
          <w:sz w:val="44"/>
          <w:szCs w:val="44"/>
        </w:rPr>
      </w:pPr>
      <w:r>
        <w:rPr>
          <w:rFonts w:hint="eastAsia" w:ascii="Times New Roman" w:hAnsi="Times New Roman" w:eastAsia="方正小标宋简体"/>
          <w:spacing w:val="-23"/>
          <w:w w:val="95"/>
          <w:sz w:val="44"/>
          <w:szCs w:val="44"/>
        </w:rPr>
        <w:t>第二</w:t>
      </w:r>
      <w:r>
        <w:rPr>
          <w:rFonts w:ascii="Times New Roman" w:hAnsi="Times New Roman" w:eastAsia="方正小标宋简体"/>
          <w:spacing w:val="-23"/>
          <w:w w:val="95"/>
          <w:sz w:val="44"/>
          <w:szCs w:val="44"/>
        </w:rPr>
        <w:t>季度</w:t>
      </w:r>
      <w:r>
        <w:rPr>
          <w:rFonts w:hint="eastAsia" w:ascii="Times New Roman" w:hAnsi="Times New Roman" w:eastAsia="方正小标宋简体"/>
          <w:spacing w:val="-23"/>
          <w:w w:val="95"/>
          <w:sz w:val="44"/>
          <w:szCs w:val="44"/>
        </w:rPr>
        <w:t>州级责任单位</w:t>
      </w:r>
      <w:r>
        <w:rPr>
          <w:rFonts w:ascii="Times New Roman" w:hAnsi="Times New Roman" w:eastAsia="方正小标宋简体"/>
          <w:spacing w:val="-23"/>
          <w:w w:val="95"/>
          <w:sz w:val="44"/>
          <w:szCs w:val="44"/>
        </w:rPr>
        <w:t>投资促进和项目推进部分考核内容评价得分情况表</w:t>
      </w:r>
    </w:p>
    <w:p>
      <w:pPr>
        <w:pStyle w:val="2"/>
        <w:ind w:left="0" w:leftChars="0" w:firstLine="0" w:firstLineChars="0"/>
        <w:rPr>
          <w:rFonts w:hint="eastAsia"/>
        </w:rPr>
      </w:pPr>
    </w:p>
    <w:tbl>
      <w:tblPr>
        <w:tblStyle w:val="5"/>
        <w:tblW w:w="15177" w:type="dxa"/>
        <w:jc w:val="center"/>
        <w:tblInd w:w="0" w:type="dxa"/>
        <w:tblLayout w:type="fixed"/>
        <w:tblCellMar>
          <w:top w:w="15" w:type="dxa"/>
          <w:left w:w="15" w:type="dxa"/>
          <w:bottom w:w="15" w:type="dxa"/>
          <w:right w:w="15" w:type="dxa"/>
        </w:tblCellMar>
      </w:tblPr>
      <w:tblGrid>
        <w:gridCol w:w="1718"/>
        <w:gridCol w:w="1718"/>
        <w:gridCol w:w="3248"/>
        <w:gridCol w:w="8493"/>
      </w:tblGrid>
      <w:tr>
        <w:tblPrEx>
          <w:tblLayout w:type="fixed"/>
          <w:tblCellMar>
            <w:top w:w="15" w:type="dxa"/>
            <w:left w:w="15" w:type="dxa"/>
            <w:bottom w:w="15" w:type="dxa"/>
            <w:right w:w="15" w:type="dxa"/>
          </w:tblCellMar>
        </w:tblPrEx>
        <w:trPr>
          <w:trHeight w:val="1145" w:hRule="atLeast"/>
          <w:jc w:val="center"/>
        </w:trPr>
        <w:tc>
          <w:tcPr>
            <w:tcW w:w="1718" w:type="dxa"/>
            <w:tcBorders>
              <w:top w:val="single" w:color="000000" w:sz="4" w:space="0"/>
              <w:left w:val="single" w:color="000000" w:sz="4" w:space="0"/>
              <w:right w:val="single" w:color="000000" w:sz="4" w:space="0"/>
            </w:tcBorders>
            <w:vAlign w:val="top"/>
          </w:tcPr>
          <w:p>
            <w:pPr>
              <w:spacing w:line="280" w:lineRule="exact"/>
              <w:rPr>
                <w:rFonts w:hint="eastAsia" w:ascii="Times New Roman" w:hAnsi="Times New Roman" w:eastAsia="仿宋_GB2312"/>
                <w:color w:val="000000"/>
                <w:szCs w:val="21"/>
              </w:rPr>
            </w:pPr>
          </w:p>
        </w:tc>
        <w:tc>
          <w:tcPr>
            <w:tcW w:w="1718" w:type="dxa"/>
            <w:vMerge w:val="restart"/>
            <w:tcBorders>
              <w:top w:val="single" w:color="000000" w:sz="4" w:space="0"/>
              <w:left w:val="single" w:color="000000" w:sz="4" w:space="0"/>
              <w:right w:val="single" w:color="000000" w:sz="4" w:space="0"/>
            </w:tcBorders>
            <w:vAlign w:val="center"/>
          </w:tcPr>
          <w:p>
            <w:pPr>
              <w:spacing w:line="280" w:lineRule="exact"/>
              <w:rPr>
                <w:rFonts w:ascii="黑体" w:hAnsi="黑体" w:eastAsia="黑体"/>
                <w:color w:val="000000"/>
                <w:sz w:val="28"/>
                <w:szCs w:val="28"/>
              </w:rPr>
            </w:pPr>
            <w:r>
              <w:rPr>
                <w:rFonts w:hint="eastAsia" w:ascii="Times New Roman" w:hAnsi="Times New Roman" w:eastAsia="仿宋_GB2312"/>
                <w:color w:val="000000"/>
                <w:szCs w:val="21"/>
              </w:rPr>
              <w:t xml:space="preserve"> </w:t>
            </w:r>
            <w:r>
              <w:rPr>
                <w:rFonts w:ascii="黑体" w:hAnsi="黑体" w:eastAsia="黑体"/>
                <w:color w:val="000000"/>
                <w:sz w:val="28"/>
                <w:szCs w:val="28"/>
              </w:rPr>
              <w:t xml:space="preserve"> </w:t>
            </w:r>
          </w:p>
          <w:p>
            <w:pPr>
              <w:pStyle w:val="2"/>
              <w:ind w:left="0" w:leftChars="0" w:firstLine="560"/>
              <w:rPr>
                <w:rFonts w:hint="eastAsia" w:ascii="黑体" w:hAnsi="黑体" w:eastAsia="黑体"/>
                <w:sz w:val="28"/>
                <w:szCs w:val="28"/>
              </w:rPr>
            </w:pPr>
            <w:r>
              <w:rPr>
                <w:rFonts w:hint="eastAsia" w:ascii="黑体" w:hAnsi="黑体" w:eastAsia="黑体"/>
                <w:sz w:val="28"/>
                <w:szCs w:val="28"/>
              </w:rPr>
              <w:t>小计（分）</w:t>
            </w:r>
          </w:p>
        </w:tc>
        <w:tc>
          <w:tcPr>
            <w:tcW w:w="11741"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Times New Roman" w:hAnsi="Times New Roman" w:eastAsia="黑体"/>
                <w:sz w:val="28"/>
                <w:szCs w:val="28"/>
              </w:rPr>
            </w:pPr>
            <w:r>
              <w:rPr>
                <w:rFonts w:hint="eastAsia" w:ascii="Times New Roman" w:hAnsi="Times New Roman" w:eastAsia="黑体"/>
                <w:sz w:val="28"/>
                <w:szCs w:val="28"/>
              </w:rPr>
              <w:t xml:space="preserve">项目协调调度情况得分 </w:t>
            </w:r>
          </w:p>
        </w:tc>
      </w:tr>
      <w:tr>
        <w:tblPrEx>
          <w:tblLayout w:type="fixed"/>
          <w:tblCellMar>
            <w:top w:w="15" w:type="dxa"/>
            <w:left w:w="15" w:type="dxa"/>
            <w:bottom w:w="15" w:type="dxa"/>
            <w:right w:w="15" w:type="dxa"/>
          </w:tblCellMar>
        </w:tblPrEx>
        <w:trPr>
          <w:trHeight w:val="956" w:hRule="atLeast"/>
          <w:jc w:val="center"/>
        </w:trPr>
        <w:tc>
          <w:tcPr>
            <w:tcW w:w="1718" w:type="dxa"/>
            <w:vMerge w:val="restart"/>
            <w:tcBorders>
              <w:left w:val="single" w:color="000000" w:sz="4" w:space="0"/>
              <w:right w:val="single" w:color="000000" w:sz="4" w:space="0"/>
            </w:tcBorders>
            <w:vAlign w:val="top"/>
          </w:tcPr>
          <w:p>
            <w:pPr>
              <w:spacing w:line="280" w:lineRule="exact"/>
              <w:jc w:val="center"/>
              <w:rPr>
                <w:rFonts w:ascii="黑体" w:hAnsi="黑体" w:eastAsia="黑体"/>
                <w:color w:val="000000"/>
                <w:sz w:val="28"/>
                <w:szCs w:val="28"/>
              </w:rPr>
            </w:pPr>
            <w:r>
              <w:rPr>
                <w:rFonts w:ascii="黑体" w:hAnsi="黑体" w:eastAsia="黑体"/>
                <w:color w:val="000000"/>
                <w:sz w:val="28"/>
                <w:szCs w:val="28"/>
              </w:rPr>
              <w:t>州级部门</w:t>
            </w:r>
          </w:p>
          <w:p>
            <w:pPr>
              <w:spacing w:line="280" w:lineRule="exact"/>
              <w:jc w:val="center"/>
              <w:rPr>
                <w:rFonts w:ascii="Times New Roman" w:hAnsi="Times New Roman" w:eastAsia="仿宋_GB2312"/>
                <w:color w:val="000000"/>
                <w:szCs w:val="21"/>
              </w:rPr>
            </w:pPr>
          </w:p>
          <w:p>
            <w:pPr>
              <w:spacing w:line="280" w:lineRule="exact"/>
              <w:jc w:val="center"/>
              <w:rPr>
                <w:rFonts w:ascii="Times New Roman" w:hAnsi="Times New Roman" w:eastAsia="仿宋_GB2312"/>
                <w:color w:val="000000"/>
                <w:szCs w:val="21"/>
              </w:rPr>
            </w:pPr>
          </w:p>
        </w:tc>
        <w:tc>
          <w:tcPr>
            <w:tcW w:w="1718" w:type="dxa"/>
            <w:vMerge w:val="continue"/>
            <w:tcBorders>
              <w:left w:val="single" w:color="000000" w:sz="4" w:space="0"/>
              <w:right w:val="single" w:color="000000" w:sz="4" w:space="0"/>
            </w:tcBorders>
            <w:vAlign w:val="center"/>
          </w:tcPr>
          <w:p>
            <w:pPr>
              <w:spacing w:line="280" w:lineRule="exact"/>
              <w:jc w:val="center"/>
              <w:rPr>
                <w:rFonts w:ascii="Times New Roman" w:hAnsi="Times New Roman" w:eastAsia="仿宋_GB2312"/>
                <w:color w:val="000000"/>
                <w:szCs w:val="21"/>
              </w:rPr>
            </w:pPr>
          </w:p>
        </w:tc>
        <w:tc>
          <w:tcPr>
            <w:tcW w:w="11741" w:type="dxa"/>
            <w:gridSpan w:val="2"/>
            <w:tcBorders>
              <w:top w:val="single" w:color="000000" w:sz="4" w:space="0"/>
              <w:left w:val="single" w:color="000000" w:sz="4" w:space="0"/>
              <w:bottom w:val="single" w:color="000000" w:sz="4" w:space="0"/>
              <w:right w:val="single" w:color="000000" w:sz="4" w:space="0"/>
            </w:tcBorders>
            <w:vAlign w:val="center"/>
          </w:tcPr>
          <w:p>
            <w:pPr>
              <w:pStyle w:val="2"/>
              <w:spacing w:line="280" w:lineRule="exact"/>
              <w:ind w:left="0" w:leftChars="0" w:firstLine="0" w:firstLineChars="0"/>
              <w:rPr>
                <w:rFonts w:hint="eastAsia" w:ascii="Times New Roman" w:hAnsi="Times New Roman" w:eastAsia="仿宋_GB2312"/>
                <w:szCs w:val="21"/>
              </w:rPr>
            </w:pPr>
            <w:r>
              <w:rPr>
                <w:rFonts w:ascii="Times New Roman" w:hAnsi="Times New Roman" w:eastAsia="仿宋_GB2312"/>
                <w:szCs w:val="21"/>
              </w:rPr>
              <w:t>加分/扣分</w:t>
            </w:r>
            <w:r>
              <w:rPr>
                <w:rFonts w:hint="eastAsia" w:ascii="Times New Roman" w:hAnsi="Times New Roman" w:eastAsia="仿宋_GB2312"/>
                <w:szCs w:val="21"/>
              </w:rPr>
              <w:t>标准</w:t>
            </w:r>
            <w:r>
              <w:rPr>
                <w:rFonts w:ascii="Times New Roman" w:hAnsi="Times New Roman" w:eastAsia="仿宋_GB2312"/>
                <w:szCs w:val="21"/>
              </w:rPr>
              <w:t>：</w:t>
            </w:r>
            <w:r>
              <w:rPr>
                <w:rFonts w:hint="eastAsia" w:ascii="Times New Roman" w:hAnsi="Times New Roman" w:eastAsia="仿宋_GB2312"/>
                <w:szCs w:val="21"/>
              </w:rPr>
              <w:t>州级部门事权范围内，经州重推办书面转办问题困难后超二个月未解决或经三次书面通报指出同一问题，且无充分理由而拒不办理的，</w:t>
            </w:r>
            <w:r>
              <w:rPr>
                <w:rFonts w:ascii="Times New Roman" w:hAnsi="Times New Roman" w:eastAsia="仿宋_GB2312"/>
                <w:szCs w:val="21"/>
              </w:rPr>
              <w:t>扣3分/起，扣完为止。</w:t>
            </w:r>
          </w:p>
        </w:tc>
      </w:tr>
      <w:tr>
        <w:tblPrEx>
          <w:tblLayout w:type="fixed"/>
          <w:tblCellMar>
            <w:top w:w="15" w:type="dxa"/>
            <w:left w:w="15" w:type="dxa"/>
            <w:bottom w:w="15" w:type="dxa"/>
            <w:right w:w="15" w:type="dxa"/>
          </w:tblCellMar>
        </w:tblPrEx>
        <w:trPr>
          <w:trHeight w:val="380" w:hRule="atLeast"/>
          <w:jc w:val="center"/>
        </w:trPr>
        <w:tc>
          <w:tcPr>
            <w:tcW w:w="1718" w:type="dxa"/>
            <w:vMerge w:val="continue"/>
            <w:tcBorders>
              <w:left w:val="single" w:color="000000" w:sz="4" w:space="0"/>
              <w:bottom w:val="single" w:color="000000" w:sz="4" w:space="0"/>
              <w:right w:val="single" w:color="000000" w:sz="4" w:space="0"/>
            </w:tcBorders>
            <w:vAlign w:val="top"/>
          </w:tcPr>
          <w:p>
            <w:pPr>
              <w:spacing w:line="280" w:lineRule="exact"/>
              <w:jc w:val="center"/>
              <w:rPr>
                <w:rFonts w:ascii="Times New Roman" w:hAnsi="Times New Roman" w:eastAsia="仿宋_GB2312"/>
                <w:color w:val="000000"/>
                <w:szCs w:val="21"/>
              </w:rPr>
            </w:pPr>
          </w:p>
        </w:tc>
        <w:tc>
          <w:tcPr>
            <w:tcW w:w="1718"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textAlignment w:val="center"/>
              <w:rPr>
                <w:rFonts w:hint="eastAsia" w:ascii="Times New Roman" w:hAnsi="Times New Roman" w:eastAsia="仿宋_GB2312"/>
                <w:color w:val="000000"/>
                <w:kern w:val="0"/>
                <w:szCs w:val="21"/>
                <w:lang w:bidi="ar"/>
              </w:rPr>
            </w:pPr>
          </w:p>
        </w:tc>
        <w:tc>
          <w:tcPr>
            <w:tcW w:w="324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加（扣）分值</w:t>
            </w:r>
          </w:p>
        </w:tc>
        <w:tc>
          <w:tcPr>
            <w:tcW w:w="849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hint="eastAsia" w:ascii="Times New Roman" w:hAnsi="Times New Roman" w:eastAsia="仿宋_GB2312"/>
                <w:color w:val="000000"/>
                <w:szCs w:val="21"/>
              </w:rPr>
            </w:pPr>
            <w:r>
              <w:rPr>
                <w:rFonts w:hint="eastAsia" w:ascii="Times New Roman" w:hAnsi="Times New Roman" w:eastAsia="仿宋_GB2312"/>
                <w:color w:val="000000"/>
                <w:szCs w:val="21"/>
              </w:rPr>
              <w:t>具体事由</w:t>
            </w:r>
          </w:p>
        </w:tc>
      </w:tr>
      <w:tr>
        <w:tblPrEx>
          <w:tblLayout w:type="fixed"/>
          <w:tblCellMar>
            <w:top w:w="15" w:type="dxa"/>
            <w:left w:w="15" w:type="dxa"/>
            <w:bottom w:w="15" w:type="dxa"/>
            <w:right w:w="15" w:type="dxa"/>
          </w:tblCellMar>
        </w:tblPrEx>
        <w:trPr>
          <w:trHeight w:val="1221" w:hRule="atLeast"/>
          <w:jc w:val="center"/>
        </w:trPr>
        <w:tc>
          <w:tcPr>
            <w:tcW w:w="1718" w:type="dxa"/>
            <w:tcBorders>
              <w:top w:val="single" w:color="000000" w:sz="4" w:space="0"/>
              <w:left w:val="single" w:color="000000" w:sz="4" w:space="0"/>
              <w:bottom w:val="single" w:color="000000" w:sz="4" w:space="0"/>
              <w:right w:val="single" w:color="000000" w:sz="4" w:space="0"/>
            </w:tcBorders>
            <w:vAlign w:val="top"/>
          </w:tcPr>
          <w:p>
            <w:pPr>
              <w:spacing w:line="280" w:lineRule="exact"/>
              <w:jc w:val="center"/>
              <w:rPr>
                <w:rFonts w:ascii="Times New Roman" w:hAnsi="Times New Roman" w:eastAsia="仿宋_GB2312"/>
                <w:color w:val="000000"/>
                <w:szCs w:val="21"/>
              </w:rPr>
            </w:pPr>
          </w:p>
          <w:p>
            <w:pPr>
              <w:spacing w:line="280" w:lineRule="exact"/>
              <w:rPr>
                <w:rFonts w:hint="eastAsia" w:ascii="Times New Roman" w:hAnsi="Times New Roman" w:eastAsia="仿宋_GB2312"/>
                <w:color w:val="000000"/>
                <w:szCs w:val="21"/>
              </w:rPr>
            </w:pPr>
          </w:p>
          <w:p>
            <w:pPr>
              <w:spacing w:line="280" w:lineRule="exact"/>
              <w:jc w:val="center"/>
              <w:rPr>
                <w:rFonts w:ascii="Times New Roman" w:hAnsi="Times New Roman" w:eastAsia="仿宋_GB2312"/>
                <w:color w:val="000000"/>
                <w:szCs w:val="21"/>
              </w:rPr>
            </w:pPr>
          </w:p>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州交通运输局</w:t>
            </w:r>
          </w:p>
          <w:p>
            <w:pPr>
              <w:widowControl/>
              <w:spacing w:line="280" w:lineRule="exact"/>
              <w:jc w:val="center"/>
              <w:textAlignment w:val="center"/>
              <w:rPr>
                <w:rFonts w:hint="eastAsia" w:ascii="Times New Roman" w:hAnsi="Times New Roman" w:eastAsia="仿宋_GB2312"/>
                <w:color w:val="000000"/>
                <w:kern w:val="0"/>
                <w:szCs w:val="21"/>
                <w:lang w:bidi="ar"/>
              </w:rPr>
            </w:pP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kern w:val="0"/>
                <w:szCs w:val="21"/>
                <w:lang w:bidi="ar"/>
              </w:rPr>
            </w:pPr>
            <w:r>
              <w:rPr>
                <w:rFonts w:hint="eastAsia" w:ascii="Times New Roman" w:hAnsi="Times New Roman" w:eastAsia="仿宋_GB2312"/>
                <w:color w:val="000000"/>
                <w:kern w:val="0"/>
                <w:szCs w:val="21"/>
                <w:lang w:bidi="ar"/>
              </w:rPr>
              <w:t>-</w:t>
            </w:r>
            <w:r>
              <w:rPr>
                <w:rFonts w:ascii="Times New Roman" w:hAnsi="Times New Roman" w:eastAsia="仿宋_GB2312"/>
                <w:color w:val="000000"/>
                <w:kern w:val="0"/>
                <w:szCs w:val="21"/>
                <w:lang w:bidi="ar"/>
              </w:rPr>
              <w:t>6</w:t>
            </w:r>
          </w:p>
        </w:tc>
        <w:tc>
          <w:tcPr>
            <w:tcW w:w="324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w:t>
            </w:r>
            <w:r>
              <w:rPr>
                <w:rFonts w:ascii="Times New Roman" w:hAnsi="Times New Roman" w:eastAsia="仿宋_GB2312"/>
                <w:color w:val="000000"/>
                <w:szCs w:val="21"/>
              </w:rPr>
              <w:t>3</w:t>
            </w:r>
            <w:r>
              <w:rPr>
                <w:rFonts w:hint="eastAsia" w:ascii="Times New Roman" w:hAnsi="Times New Roman" w:eastAsia="仿宋_GB2312"/>
                <w:color w:val="000000"/>
                <w:szCs w:val="21"/>
              </w:rPr>
              <w:t>×</w:t>
            </w:r>
            <w:r>
              <w:rPr>
                <w:rFonts w:ascii="Times New Roman" w:hAnsi="Times New Roman" w:eastAsia="仿宋_GB2312"/>
                <w:color w:val="000000"/>
                <w:szCs w:val="21"/>
              </w:rPr>
              <w:t>2</w:t>
            </w:r>
          </w:p>
        </w:tc>
        <w:tc>
          <w:tcPr>
            <w:tcW w:w="849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《关于</w:t>
            </w:r>
            <w:r>
              <w:rPr>
                <w:rFonts w:ascii="Times New Roman" w:hAnsi="Times New Roman" w:eastAsia="仿宋_GB2312"/>
                <w:color w:val="000000"/>
                <w:szCs w:val="21"/>
              </w:rPr>
              <w:t>2020年3月重点项目推进困难问题及诉求转办责任分工的通知</w:t>
            </w:r>
            <w:r>
              <w:rPr>
                <w:rFonts w:hint="eastAsia" w:ascii="Times New Roman" w:hAnsi="Times New Roman" w:eastAsia="仿宋_GB2312"/>
                <w:color w:val="000000"/>
                <w:szCs w:val="21"/>
              </w:rPr>
              <w:t>》（阿州重办〔</w:t>
            </w:r>
            <w:r>
              <w:rPr>
                <w:rFonts w:ascii="Times New Roman" w:hAnsi="Times New Roman" w:eastAsia="仿宋_GB2312"/>
                <w:color w:val="000000"/>
                <w:szCs w:val="21"/>
              </w:rPr>
              <w:t>2020〕4号</w:t>
            </w:r>
            <w:r>
              <w:rPr>
                <w:rFonts w:hint="eastAsia" w:ascii="Times New Roman" w:hAnsi="Times New Roman" w:eastAsia="仿宋_GB2312"/>
                <w:color w:val="000000"/>
                <w:szCs w:val="21"/>
              </w:rPr>
              <w:t>）有关</w:t>
            </w:r>
            <w:r>
              <w:rPr>
                <w:rFonts w:ascii="Times New Roman" w:hAnsi="Times New Roman" w:eastAsia="仿宋_GB2312"/>
                <w:sz w:val="24"/>
                <w:szCs w:val="24"/>
              </w:rPr>
              <w:t>薛孟路延伸段</w:t>
            </w:r>
            <w:r>
              <w:rPr>
                <w:rFonts w:hint="eastAsia" w:ascii="Times New Roman" w:hAnsi="Times New Roman" w:eastAsia="仿宋_GB2312"/>
                <w:sz w:val="24"/>
                <w:szCs w:val="24"/>
              </w:rPr>
              <w:t>、理小路</w:t>
            </w:r>
            <w:r>
              <w:rPr>
                <w:rFonts w:ascii="Times New Roman" w:hAnsi="Times New Roman" w:eastAsia="仿宋_GB2312"/>
                <w:color w:val="000000"/>
                <w:szCs w:val="21"/>
              </w:rPr>
              <w:t>资金缺口</w:t>
            </w:r>
            <w:r>
              <w:rPr>
                <w:rFonts w:hint="eastAsia" w:ascii="Times New Roman" w:hAnsi="Times New Roman" w:eastAsia="仿宋_GB2312"/>
                <w:color w:val="000000"/>
                <w:szCs w:val="21"/>
              </w:rPr>
              <w:t>转办事项，超二个月未解决也未书面说明情况。</w:t>
            </w:r>
          </w:p>
        </w:tc>
      </w:tr>
      <w:tr>
        <w:tblPrEx>
          <w:tblLayout w:type="fixed"/>
          <w:tblCellMar>
            <w:top w:w="15" w:type="dxa"/>
            <w:left w:w="15" w:type="dxa"/>
            <w:bottom w:w="15" w:type="dxa"/>
            <w:right w:w="15" w:type="dxa"/>
          </w:tblCellMar>
        </w:tblPrEx>
        <w:trPr>
          <w:trHeight w:val="1381" w:hRule="atLeast"/>
          <w:jc w:val="center"/>
        </w:trPr>
        <w:tc>
          <w:tcPr>
            <w:tcW w:w="1718" w:type="dxa"/>
            <w:tcBorders>
              <w:top w:val="single" w:color="000000" w:sz="4" w:space="0"/>
              <w:left w:val="single" w:color="000000" w:sz="4" w:space="0"/>
              <w:bottom w:val="single" w:color="000000" w:sz="4" w:space="0"/>
              <w:right w:val="single" w:color="000000" w:sz="4" w:space="0"/>
            </w:tcBorders>
            <w:vAlign w:val="top"/>
          </w:tcPr>
          <w:p>
            <w:pPr>
              <w:widowControl/>
              <w:spacing w:line="280" w:lineRule="exact"/>
              <w:jc w:val="center"/>
              <w:textAlignment w:val="center"/>
              <w:rPr>
                <w:rFonts w:ascii="Times New Roman" w:hAnsi="Times New Roman" w:eastAsia="仿宋_GB2312"/>
                <w:color w:val="000000"/>
                <w:szCs w:val="21"/>
              </w:rPr>
            </w:pPr>
          </w:p>
          <w:p>
            <w:pPr>
              <w:widowControl/>
              <w:spacing w:line="280" w:lineRule="exact"/>
              <w:jc w:val="center"/>
              <w:textAlignment w:val="center"/>
              <w:rPr>
                <w:rFonts w:ascii="Times New Roman" w:hAnsi="Times New Roman" w:eastAsia="仿宋_GB2312"/>
                <w:color w:val="000000"/>
                <w:szCs w:val="21"/>
              </w:rPr>
            </w:pPr>
          </w:p>
          <w:p>
            <w:pPr>
              <w:widowControl/>
              <w:spacing w:line="280" w:lineRule="exact"/>
              <w:jc w:val="center"/>
              <w:textAlignment w:val="center"/>
              <w:rPr>
                <w:rFonts w:hint="eastAsia" w:ascii="Times New Roman" w:hAnsi="Times New Roman" w:eastAsia="仿宋_GB2312"/>
                <w:color w:val="000000"/>
                <w:kern w:val="0"/>
                <w:szCs w:val="21"/>
                <w:lang w:bidi="ar"/>
              </w:rPr>
            </w:pPr>
            <w:r>
              <w:rPr>
                <w:rFonts w:hint="eastAsia" w:ascii="Times New Roman" w:hAnsi="Times New Roman" w:eastAsia="仿宋_GB2312"/>
                <w:color w:val="000000"/>
                <w:szCs w:val="21"/>
              </w:rPr>
              <w:t>州经信局</w:t>
            </w:r>
          </w:p>
        </w:tc>
        <w:tc>
          <w:tcPr>
            <w:tcW w:w="1718"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Times New Roman" w:hAnsi="Times New Roman" w:eastAsia="仿宋_GB2312"/>
                <w:color w:val="000000"/>
                <w:kern w:val="0"/>
                <w:szCs w:val="21"/>
                <w:lang w:bidi="ar"/>
              </w:rPr>
            </w:pPr>
            <w:r>
              <w:rPr>
                <w:rFonts w:hint="eastAsia" w:ascii="Times New Roman" w:hAnsi="Times New Roman" w:eastAsia="仿宋_GB2312"/>
                <w:color w:val="000000"/>
                <w:kern w:val="0"/>
                <w:szCs w:val="21"/>
                <w:lang w:bidi="ar"/>
              </w:rPr>
              <w:t>-</w:t>
            </w:r>
            <w:r>
              <w:rPr>
                <w:rFonts w:ascii="Times New Roman" w:hAnsi="Times New Roman" w:eastAsia="仿宋_GB2312"/>
                <w:color w:val="000000"/>
                <w:kern w:val="0"/>
                <w:szCs w:val="21"/>
                <w:lang w:bidi="ar"/>
              </w:rPr>
              <w:t>6</w:t>
            </w:r>
          </w:p>
        </w:tc>
        <w:tc>
          <w:tcPr>
            <w:tcW w:w="3248"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Times New Roman" w:hAnsi="Times New Roman" w:eastAsia="仿宋_GB2312"/>
                <w:color w:val="000000"/>
                <w:szCs w:val="21"/>
              </w:rPr>
            </w:pPr>
            <w:r>
              <w:rPr>
                <w:rFonts w:hint="eastAsia" w:ascii="Times New Roman" w:hAnsi="Times New Roman" w:eastAsia="仿宋_GB2312"/>
                <w:color w:val="000000"/>
                <w:szCs w:val="21"/>
              </w:rPr>
              <w:t>-</w:t>
            </w:r>
            <w:r>
              <w:rPr>
                <w:rFonts w:ascii="Times New Roman" w:hAnsi="Times New Roman" w:eastAsia="仿宋_GB2312"/>
                <w:color w:val="000000"/>
                <w:szCs w:val="21"/>
              </w:rPr>
              <w:t>3</w:t>
            </w:r>
            <w:r>
              <w:rPr>
                <w:rFonts w:hint="eastAsia" w:ascii="Times New Roman" w:hAnsi="Times New Roman" w:eastAsia="仿宋_GB2312"/>
                <w:color w:val="000000"/>
                <w:szCs w:val="21"/>
              </w:rPr>
              <w:t>×</w:t>
            </w:r>
            <w:r>
              <w:rPr>
                <w:rFonts w:ascii="Times New Roman" w:hAnsi="Times New Roman" w:eastAsia="仿宋_GB2312"/>
                <w:color w:val="000000"/>
                <w:szCs w:val="21"/>
              </w:rPr>
              <w:t>2</w:t>
            </w:r>
          </w:p>
        </w:tc>
        <w:tc>
          <w:tcPr>
            <w:tcW w:w="849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未按照《部分重点交通项目建设推进协调会议纪要》（阿州重办阅〔</w:t>
            </w:r>
            <w:r>
              <w:rPr>
                <w:rFonts w:ascii="Times New Roman" w:hAnsi="Times New Roman" w:eastAsia="仿宋_GB2312"/>
                <w:color w:val="000000"/>
                <w:szCs w:val="21"/>
              </w:rPr>
              <w:t>2020〕1号）</w:t>
            </w:r>
            <w:r>
              <w:rPr>
                <w:rFonts w:hint="eastAsia" w:ascii="Times New Roman" w:hAnsi="Times New Roman" w:eastAsia="仿宋_GB2312"/>
                <w:color w:val="000000"/>
                <w:szCs w:val="21"/>
              </w:rPr>
              <w:t>有关</w:t>
            </w:r>
            <w:r>
              <w:rPr>
                <w:rFonts w:ascii="Times New Roman" w:hAnsi="Times New Roman" w:eastAsia="仿宋_GB2312"/>
                <w:color w:val="000000"/>
                <w:szCs w:val="21"/>
              </w:rPr>
              <w:t>交通扶贫项目于6月底</w:t>
            </w:r>
            <w:r>
              <w:rPr>
                <w:rFonts w:hint="eastAsia" w:ascii="Times New Roman" w:hAnsi="Times New Roman" w:eastAsia="仿宋_GB2312"/>
                <w:color w:val="000000"/>
                <w:szCs w:val="21"/>
              </w:rPr>
              <w:t>前</w:t>
            </w:r>
            <w:r>
              <w:rPr>
                <w:rFonts w:ascii="Times New Roman" w:hAnsi="Times New Roman" w:eastAsia="仿宋_GB2312"/>
                <w:color w:val="000000"/>
                <w:szCs w:val="21"/>
              </w:rPr>
              <w:t>完成</w:t>
            </w:r>
            <w:r>
              <w:rPr>
                <w:rFonts w:ascii="Times New Roman" w:hAnsi="Times New Roman" w:eastAsia="仿宋_GB2312"/>
                <w:sz w:val="24"/>
                <w:szCs w:val="24"/>
              </w:rPr>
              <w:t>S217卓小路、G347茂红路</w:t>
            </w:r>
            <w:r>
              <w:rPr>
                <w:rFonts w:hint="eastAsia" w:ascii="Times New Roman" w:hAnsi="Times New Roman" w:eastAsia="仿宋_GB2312"/>
                <w:color w:val="000000"/>
                <w:szCs w:val="21"/>
              </w:rPr>
              <w:t>通信、电力</w:t>
            </w:r>
            <w:r>
              <w:rPr>
                <w:rFonts w:ascii="Times New Roman" w:hAnsi="Times New Roman" w:eastAsia="仿宋_GB2312"/>
                <w:color w:val="000000"/>
                <w:szCs w:val="21"/>
              </w:rPr>
              <w:t>杆线</w:t>
            </w:r>
            <w:r>
              <w:rPr>
                <w:rFonts w:hint="eastAsia" w:ascii="Times New Roman" w:hAnsi="Times New Roman" w:eastAsia="仿宋_GB2312"/>
                <w:color w:val="000000"/>
                <w:szCs w:val="21"/>
              </w:rPr>
              <w:t>迁改交办事宜</w:t>
            </w:r>
            <w:r>
              <w:rPr>
                <w:rFonts w:ascii="Times New Roman" w:hAnsi="Times New Roman" w:eastAsia="仿宋_GB2312"/>
                <w:color w:val="000000"/>
                <w:szCs w:val="21"/>
              </w:rPr>
              <w:t>。</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23A94"/>
    <w:rsid w:val="66523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next w:val="2"/>
    <w:uiPriority w:val="0"/>
    <w:pPr>
      <w:spacing w:after="120"/>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2020-07-30T09:19:00Z</dcterms:created>
  <dc:creator>索郎措</dc:creator>
  <cp:lastModifiedBy>索郎措</cp:lastModifiedBy>
  <dcterms:modified xsi:type="dcterms:W3CDTF">2020-07-30T09:19:44Z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