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36" w:lineRule="auto"/>
        <w:ind w:left="0" w:right="0" w:firstLine="0" w:firstLineChars="0"/>
        <w:jc w:val="both"/>
        <w:outlineLvl w:val="9"/>
        <w:rPr>
          <w:rFonts w:hint="eastAsia" w:ascii="黑体" w:hAnsi="宋体" w:eastAsia="黑体" w:cs="黑体"/>
          <w:caps w:val="0"/>
          <w:color w:val="auto"/>
          <w:sz w:val="32"/>
          <w:szCs w:val="32"/>
          <w:vertAlign w:val="baseline"/>
          <w:lang w:eastAsia="zh-CN" w:bidi="ar"/>
        </w:rPr>
      </w:pPr>
      <w:r>
        <w:rPr>
          <w:rFonts w:ascii="黑体" w:hAnsi="宋体" w:eastAsia="黑体" w:cs="黑体"/>
          <w:caps w:val="0"/>
          <w:color w:val="auto"/>
          <w:sz w:val="32"/>
          <w:szCs w:val="32"/>
          <w:vertAlign w:val="baseline"/>
          <w:lang w:eastAsia="zh-CN" w:bidi="ar"/>
        </w:rPr>
        <w:t>附件</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6" w:lineRule="exact"/>
        <w:ind w:left="0" w:right="0" w:firstLine="2208" w:firstLineChars="500"/>
        <w:jc w:val="both"/>
        <w:outlineLvl w:val="9"/>
        <w:rPr>
          <w:rFonts w:hint="eastAsia" w:ascii="宋体" w:hAnsi="宋体" w:eastAsia="宋体" w:cs="宋体"/>
          <w:b/>
          <w:bCs/>
          <w:caps w:val="0"/>
          <w:color w:val="auto"/>
          <w:sz w:val="44"/>
          <w:szCs w:val="44"/>
          <w:vertAlign w:val="baseline"/>
        </w:rPr>
      </w:pPr>
      <w:r>
        <w:rPr>
          <w:rFonts w:hint="eastAsia" w:ascii="宋体" w:hAnsi="宋体" w:eastAsia="宋体" w:cs="宋体"/>
          <w:b/>
          <w:bCs/>
          <w:caps w:val="0"/>
          <w:color w:val="auto"/>
          <w:sz w:val="44"/>
          <w:szCs w:val="44"/>
          <w:vertAlign w:val="baseline"/>
          <w:lang w:eastAsia="zh-CN"/>
        </w:rPr>
        <w:t>全州</w:t>
      </w:r>
      <w:r>
        <w:rPr>
          <w:rFonts w:hint="eastAsia" w:ascii="宋体" w:hAnsi="宋体" w:eastAsia="宋体" w:cs="宋体"/>
          <w:b/>
          <w:bCs/>
          <w:caps w:val="0"/>
          <w:color w:val="auto"/>
          <w:sz w:val="44"/>
          <w:szCs w:val="44"/>
          <w:vertAlign w:val="baseline"/>
        </w:rPr>
        <w:t>深化工程招投标领域突出问题系统治理任务清单</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76" w:lineRule="exact"/>
        <w:ind w:left="0" w:right="0" w:firstLine="0" w:firstLineChars="0"/>
        <w:jc w:val="center"/>
        <w:outlineLvl w:val="9"/>
        <w:rPr>
          <w:rFonts w:hint="eastAsia" w:ascii="宋体" w:hAnsi="宋体" w:eastAsia="宋体" w:cs="宋体"/>
          <w:b/>
          <w:bCs/>
          <w:caps w:val="0"/>
          <w:color w:val="auto"/>
          <w:sz w:val="44"/>
          <w:szCs w:val="44"/>
          <w:vertAlign w:val="baseline"/>
        </w:rPr>
      </w:pPr>
    </w:p>
    <w:tbl>
      <w:tblPr>
        <w:tblStyle w:val="2"/>
        <w:tblW w:w="14886" w:type="dxa"/>
        <w:tblInd w:w="-18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46"/>
        <w:gridCol w:w="1190"/>
        <w:gridCol w:w="6150"/>
        <w:gridCol w:w="3537"/>
        <w:gridCol w:w="326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93" w:hRule="atLeast"/>
          <w:tblHeader/>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黑体" w:hAnsi="宋体" w:eastAsia="黑体" w:cs="黑体"/>
                <w:caps w:val="0"/>
                <w:color w:val="auto"/>
                <w:sz w:val="24"/>
                <w:szCs w:val="24"/>
                <w:vertAlign w:val="baseline"/>
              </w:rPr>
            </w:pPr>
            <w:r>
              <w:rPr>
                <w:rFonts w:hint="eastAsia" w:ascii="黑体" w:hAnsi="宋体" w:eastAsia="黑体" w:cs="黑体"/>
                <w:caps w:val="0"/>
                <w:color w:val="auto"/>
                <w:sz w:val="24"/>
                <w:szCs w:val="24"/>
                <w:vertAlign w:val="baseline"/>
              </w:rPr>
              <w:t>序号</w:t>
            </w:r>
          </w:p>
        </w:tc>
        <w:tc>
          <w:tcPr>
            <w:tcW w:w="11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黑体" w:hAnsi="宋体" w:eastAsia="黑体" w:cs="黑体"/>
                <w:caps w:val="0"/>
                <w:color w:val="auto"/>
                <w:sz w:val="24"/>
                <w:szCs w:val="24"/>
                <w:vertAlign w:val="baseline"/>
              </w:rPr>
            </w:pPr>
            <w:r>
              <w:rPr>
                <w:rFonts w:hint="eastAsia" w:ascii="黑体" w:hAnsi="宋体" w:eastAsia="黑体" w:cs="黑体"/>
                <w:caps w:val="0"/>
                <w:color w:val="auto"/>
                <w:sz w:val="24"/>
                <w:szCs w:val="24"/>
                <w:vertAlign w:val="baseline"/>
              </w:rPr>
              <w:t>重点任务</w:t>
            </w: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黑体" w:hAnsi="宋体" w:eastAsia="黑体" w:cs="黑体"/>
                <w:caps w:val="0"/>
                <w:color w:val="auto"/>
                <w:sz w:val="24"/>
                <w:szCs w:val="24"/>
                <w:vertAlign w:val="baseline"/>
              </w:rPr>
            </w:pPr>
            <w:r>
              <w:rPr>
                <w:rFonts w:hint="eastAsia" w:ascii="黑体" w:hAnsi="宋体" w:eastAsia="黑体" w:cs="黑体"/>
                <w:caps w:val="0"/>
                <w:color w:val="auto"/>
                <w:sz w:val="24"/>
                <w:szCs w:val="24"/>
                <w:vertAlign w:val="baseline"/>
              </w:rPr>
              <w:t>治理措施</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黑体" w:hAnsi="宋体" w:eastAsia="黑体" w:cs="黑体"/>
                <w:caps w:val="0"/>
                <w:color w:val="auto"/>
                <w:sz w:val="24"/>
                <w:szCs w:val="24"/>
                <w:vertAlign w:val="baseline"/>
              </w:rPr>
            </w:pPr>
            <w:r>
              <w:rPr>
                <w:rFonts w:hint="eastAsia" w:ascii="黑体" w:hAnsi="宋体" w:eastAsia="黑体" w:cs="黑体"/>
                <w:caps w:val="0"/>
                <w:color w:val="auto"/>
                <w:sz w:val="24"/>
                <w:szCs w:val="24"/>
                <w:vertAlign w:val="baseline"/>
              </w:rPr>
              <w:t>责任单位</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center"/>
              <w:outlineLvl w:val="9"/>
              <w:rPr>
                <w:rFonts w:hint="eastAsia" w:ascii="黑体" w:hAnsi="宋体" w:eastAsia="黑体" w:cs="黑体"/>
                <w:caps w:val="0"/>
                <w:color w:val="auto"/>
                <w:sz w:val="24"/>
                <w:szCs w:val="24"/>
                <w:vertAlign w:val="baseline"/>
              </w:rPr>
            </w:pPr>
            <w:r>
              <w:rPr>
                <w:rFonts w:hint="eastAsia" w:ascii="黑体" w:hAnsi="宋体" w:eastAsia="黑体" w:cs="黑体"/>
                <w:caps w:val="0"/>
                <w:color w:val="auto"/>
                <w:sz w:val="24"/>
                <w:szCs w:val="24"/>
                <w:vertAlign w:val="baseline"/>
              </w:rPr>
              <w:t>时间安排</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20"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进一步清理规范招投标制度规则</w:t>
            </w: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按照“谁制定、谁清理”的原则，</w:t>
            </w:r>
            <w:r>
              <w:rPr>
                <w:rFonts w:hint="eastAsia" w:ascii="宋体" w:hAnsi="宋体" w:eastAsia="宋体" w:cs="宋体"/>
                <w:caps w:val="0"/>
                <w:color w:val="auto"/>
                <w:sz w:val="24"/>
                <w:szCs w:val="24"/>
                <w:vertAlign w:val="baseline"/>
                <w:lang w:bidi="ar"/>
              </w:rPr>
              <w:t>对地方性工程项目招投标法规、规章、规范性文件、未体现到制度文件中的实践做法</w:t>
            </w:r>
            <w:r>
              <w:rPr>
                <w:rFonts w:hint="eastAsia" w:ascii="宋体" w:hAnsi="宋体" w:eastAsia="宋体" w:cs="宋体"/>
                <w:caps w:val="0"/>
                <w:color w:val="auto"/>
                <w:sz w:val="24"/>
                <w:szCs w:val="24"/>
                <w:vertAlign w:val="baseline"/>
                <w:lang w:eastAsia="zh-CN" w:bidi="ar"/>
              </w:rPr>
              <w:t>进行</w:t>
            </w:r>
            <w:r>
              <w:rPr>
                <w:rFonts w:hint="eastAsia" w:ascii="宋体" w:hAnsi="宋体" w:eastAsia="宋体" w:cs="宋体"/>
                <w:caps w:val="0"/>
                <w:color w:val="auto"/>
                <w:sz w:val="24"/>
                <w:szCs w:val="24"/>
                <w:vertAlign w:val="baseline"/>
                <w:lang w:bidi="ar"/>
              </w:rPr>
              <w:t>全面梳理</w:t>
            </w:r>
            <w:r>
              <w:rPr>
                <w:rFonts w:hint="eastAsia" w:ascii="宋体" w:hAnsi="宋体" w:eastAsia="宋体" w:cs="宋体"/>
                <w:caps w:val="0"/>
                <w:color w:val="auto"/>
                <w:sz w:val="24"/>
                <w:szCs w:val="24"/>
                <w:vertAlign w:val="baseline"/>
                <w:lang w:eastAsia="zh-CN" w:bidi="ar"/>
              </w:rPr>
              <w:t>，根据情况作出保留、修订、废止等处理。</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val="en-US" w:eastAsia="zh-CN" w:bidi="ar"/>
              </w:rPr>
            </w:pPr>
            <w:r>
              <w:rPr>
                <w:rFonts w:hint="eastAsia" w:ascii="宋体" w:hAnsi="宋体" w:eastAsia="宋体" w:cs="宋体"/>
                <w:caps w:val="0"/>
                <w:color w:val="auto"/>
                <w:sz w:val="24"/>
                <w:szCs w:val="24"/>
                <w:vertAlign w:val="baseline"/>
                <w:lang w:val="en-US" w:eastAsia="zh-CN" w:bidi="ar"/>
              </w:rPr>
              <w:t>10月20日前，各县（市）、各部门负责将本地区、本系统清理情况报州发改委汇总，由州发改委统一报省发改委公布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53"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贯彻落实省上</w:t>
            </w:r>
            <w:r>
              <w:rPr>
                <w:rFonts w:hint="eastAsia" w:ascii="宋体" w:hAnsi="宋体" w:eastAsia="宋体" w:cs="宋体"/>
                <w:caps w:val="0"/>
                <w:color w:val="auto"/>
                <w:sz w:val="24"/>
                <w:szCs w:val="24"/>
                <w:vertAlign w:val="baseline"/>
                <w:lang w:bidi="ar"/>
              </w:rPr>
              <w:t>新出台</w:t>
            </w:r>
            <w:r>
              <w:rPr>
                <w:rFonts w:hint="eastAsia" w:ascii="宋体" w:hAnsi="宋体" w:eastAsia="宋体" w:cs="宋体"/>
                <w:caps w:val="0"/>
                <w:color w:val="auto"/>
                <w:sz w:val="24"/>
                <w:szCs w:val="24"/>
                <w:vertAlign w:val="baseline"/>
                <w:lang w:eastAsia="zh-CN" w:bidi="ar"/>
              </w:rPr>
              <w:t>的</w:t>
            </w:r>
            <w:r>
              <w:rPr>
                <w:rFonts w:hint="eastAsia" w:ascii="宋体" w:hAnsi="宋体" w:eastAsia="宋体" w:cs="宋体"/>
                <w:caps w:val="0"/>
                <w:color w:val="auto"/>
                <w:sz w:val="24"/>
                <w:szCs w:val="24"/>
                <w:vertAlign w:val="baseline"/>
                <w:lang w:bidi="ar"/>
              </w:rPr>
              <w:t>招投标制度规则审核把关机制</w:t>
            </w:r>
            <w:r>
              <w:rPr>
                <w:rFonts w:hint="eastAsia" w:ascii="宋体" w:hAnsi="宋体" w:eastAsia="宋体" w:cs="宋体"/>
                <w:caps w:val="0"/>
                <w:color w:val="auto"/>
                <w:sz w:val="24"/>
                <w:szCs w:val="24"/>
                <w:vertAlign w:val="baseline"/>
                <w:lang w:eastAsia="zh-CN" w:bidi="ar"/>
              </w:rPr>
              <w:t>，不得出台与上位法相抵触的规定，各部门制定的招投标法规文件，应当依法向社会公布，按规定报送备案。</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州发改委</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动态推进，长期坚持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16"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2</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进一步完善招标代理机构管理</w:t>
            </w: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val="en-US" w:eastAsia="zh-CN" w:bidi="ar"/>
              </w:rPr>
            </w:pPr>
            <w:r>
              <w:rPr>
                <w:rFonts w:hint="eastAsia" w:ascii="宋体" w:hAnsi="宋体" w:eastAsia="宋体" w:cs="宋体"/>
                <w:caps w:val="0"/>
                <w:color w:val="auto"/>
                <w:sz w:val="24"/>
                <w:szCs w:val="24"/>
                <w:vertAlign w:val="baseline"/>
                <w:lang w:bidi="ar"/>
              </w:rPr>
              <w:t>开展招标代理机构规范管理专项行动</w:t>
            </w:r>
            <w:r>
              <w:rPr>
                <w:rFonts w:hint="eastAsia" w:ascii="宋体" w:hAnsi="宋体" w:eastAsia="宋体" w:cs="宋体"/>
                <w:caps w:val="0"/>
                <w:color w:val="auto"/>
                <w:sz w:val="24"/>
                <w:szCs w:val="24"/>
                <w:vertAlign w:val="baseline"/>
                <w:lang w:eastAsia="zh-CN" w:bidi="ar"/>
              </w:rPr>
              <w:t>，分行业对监管范围内项目招标代理机构、从业人员进行全面摸排，从严查处违法违规行为，情节严重的依法禁止其招标代理活动。</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动态推进，长期坚持，</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11月底前查处并曝光一批违法违规招标代理机构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67"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highlight w:val="yellow"/>
                <w:vertAlign w:val="baseline"/>
                <w:lang w:eastAsia="zh-CN" w:bidi="ar"/>
              </w:rPr>
            </w:pPr>
            <w:r>
              <w:rPr>
                <w:rFonts w:hint="eastAsia" w:ascii="宋体" w:hAnsi="宋体" w:eastAsia="宋体" w:cs="宋体"/>
                <w:caps w:val="0"/>
                <w:color w:val="auto"/>
                <w:sz w:val="24"/>
                <w:szCs w:val="24"/>
                <w:vertAlign w:val="baseline"/>
                <w:lang w:bidi="ar"/>
              </w:rPr>
              <w:t>上线运行招标代理机构信用记录管理系统，加大信用评价结果运用力度</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b w:val="0"/>
                <w:bCs w:val="0"/>
                <w:caps w:val="0"/>
                <w:color w:val="auto"/>
                <w:kern w:val="2"/>
                <w:sz w:val="24"/>
                <w:szCs w:val="24"/>
                <w:vertAlign w:val="baseline"/>
                <w:lang w:val="en-US" w:eastAsia="zh-CN" w:bidi="ar"/>
              </w:rPr>
              <w:t>7月上线运行招标代理机构信用记录管理系统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93"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val="en-US" w:eastAsia="zh-CN" w:bidi="ar"/>
              </w:rPr>
              <w:t>3</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进一步强</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化事中事后监管</w:t>
            </w: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bidi="ar"/>
              </w:rPr>
              <w:t>全面推行“</w:t>
            </w:r>
            <w:bookmarkStart w:id="0" w:name="_GoBack"/>
            <w:bookmarkEnd w:id="0"/>
            <w:r>
              <w:rPr>
                <w:rFonts w:hint="eastAsia" w:ascii="宋体" w:hAnsi="宋体" w:eastAsia="宋体" w:cs="宋体"/>
                <w:caps w:val="0"/>
                <w:color w:val="auto"/>
                <w:sz w:val="24"/>
                <w:szCs w:val="24"/>
                <w:vertAlign w:val="baseline"/>
                <w:lang w:bidi="ar"/>
              </w:rPr>
              <w:t>双随机</w:t>
            </w:r>
            <w:r>
              <w:rPr>
                <w:rFonts w:hint="eastAsia" w:ascii="宋体" w:hAnsi="宋体" w:cs="宋体"/>
                <w:caps w:val="0"/>
                <w:color w:val="auto"/>
                <w:sz w:val="24"/>
                <w:szCs w:val="24"/>
                <w:vertAlign w:val="baseline"/>
                <w:lang w:eastAsia="zh-CN" w:bidi="ar"/>
              </w:rPr>
              <w:t>、</w:t>
            </w:r>
            <w:r>
              <w:rPr>
                <w:rFonts w:hint="eastAsia" w:ascii="宋体" w:hAnsi="宋体" w:eastAsia="宋体" w:cs="宋体"/>
                <w:caps w:val="0"/>
                <w:color w:val="auto"/>
                <w:sz w:val="24"/>
                <w:szCs w:val="24"/>
                <w:vertAlign w:val="baseline"/>
                <w:lang w:bidi="ar"/>
              </w:rPr>
              <w:t>一公开”监管模式，建立健全制度规定，紧盯</w:t>
            </w:r>
            <w:r>
              <w:rPr>
                <w:rFonts w:hint="eastAsia" w:ascii="宋体" w:hAnsi="宋体" w:eastAsia="宋体" w:cs="宋体"/>
                <w:caps w:val="0"/>
                <w:color w:val="auto"/>
                <w:sz w:val="24"/>
                <w:szCs w:val="24"/>
                <w:vertAlign w:val="baseline"/>
                <w:lang w:eastAsia="zh-CN" w:bidi="ar"/>
              </w:rPr>
              <w:t>招标文件发布、开评标、标后履约等</w:t>
            </w:r>
            <w:r>
              <w:rPr>
                <w:rFonts w:hint="eastAsia" w:ascii="宋体" w:hAnsi="宋体" w:eastAsia="宋体" w:cs="宋体"/>
                <w:caps w:val="0"/>
                <w:color w:val="auto"/>
                <w:sz w:val="24"/>
                <w:szCs w:val="24"/>
                <w:vertAlign w:val="baseline"/>
                <w:lang w:bidi="ar"/>
              </w:rPr>
              <w:t>关键环节、载体，</w:t>
            </w:r>
            <w:r>
              <w:rPr>
                <w:rFonts w:hint="eastAsia" w:ascii="宋体" w:hAnsi="宋体" w:eastAsia="宋体" w:cs="宋体"/>
                <w:caps w:val="0"/>
                <w:color w:val="auto"/>
                <w:sz w:val="24"/>
                <w:szCs w:val="24"/>
                <w:vertAlign w:val="baseline"/>
                <w:lang w:eastAsia="zh-CN" w:bidi="ar"/>
              </w:rPr>
              <w:t>结合</w:t>
            </w:r>
            <w:r>
              <w:rPr>
                <w:rFonts w:hint="eastAsia" w:ascii="宋体" w:hAnsi="宋体" w:eastAsia="宋体" w:cs="宋体"/>
                <w:caps w:val="0"/>
                <w:color w:val="auto"/>
                <w:sz w:val="24"/>
                <w:szCs w:val="24"/>
                <w:vertAlign w:val="baseline"/>
                <w:lang w:val="en-US" w:eastAsia="zh-CN" w:bidi="ar"/>
              </w:rPr>
              <w:t>2020年度全州工程招投标领域突出问题系统治理工作情况，</w:t>
            </w:r>
            <w:r>
              <w:rPr>
                <w:rFonts w:hint="eastAsia" w:ascii="宋体" w:hAnsi="宋体" w:eastAsia="宋体" w:cs="宋体"/>
                <w:caps w:val="0"/>
                <w:color w:val="auto"/>
                <w:sz w:val="24"/>
                <w:szCs w:val="24"/>
                <w:vertAlign w:val="baseline"/>
                <w:lang w:eastAsia="zh-CN" w:bidi="ar"/>
              </w:rPr>
              <w:t>分行业合理</w:t>
            </w:r>
            <w:r>
              <w:rPr>
                <w:rFonts w:hint="eastAsia" w:ascii="宋体" w:hAnsi="宋体" w:eastAsia="宋体" w:cs="宋体"/>
                <w:caps w:val="0"/>
                <w:color w:val="auto"/>
                <w:sz w:val="24"/>
                <w:szCs w:val="24"/>
                <w:vertAlign w:val="baseline"/>
                <w:lang w:bidi="ar"/>
              </w:rPr>
              <w:t>确定抽查对象、比例、频次，向社会公布后执行，抽查结果向社会公开</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11月</w:t>
            </w:r>
            <w:r>
              <w:rPr>
                <w:rFonts w:hint="eastAsia" w:ascii="宋体" w:hAnsi="宋体" w:eastAsia="宋体" w:cs="宋体"/>
                <w:caps w:val="0"/>
                <w:color w:val="auto"/>
                <w:sz w:val="24"/>
                <w:szCs w:val="24"/>
                <w:vertAlign w:val="baseline"/>
                <w:lang w:val="en-US" w:eastAsia="zh-CN" w:bidi="ar"/>
              </w:rPr>
              <w:t>20日</w:t>
            </w:r>
            <w:r>
              <w:rPr>
                <w:rFonts w:hint="eastAsia" w:ascii="宋体" w:hAnsi="宋体" w:eastAsia="宋体" w:cs="宋体"/>
                <w:caps w:val="0"/>
                <w:color w:val="auto"/>
                <w:sz w:val="24"/>
                <w:szCs w:val="24"/>
                <w:vertAlign w:val="baseline"/>
                <w:lang w:bidi="ar"/>
              </w:rPr>
              <w:t>前完成首批次</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随机抽查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23"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bidi="ar"/>
              </w:rPr>
              <w:t>全面推行不见面开标和异地远程评标，按省上统一部署，加快各行业领域电子招标标准文件上线运行</w:t>
            </w:r>
            <w:r>
              <w:rPr>
                <w:rFonts w:hint="eastAsia" w:ascii="宋体" w:hAnsi="宋体" w:eastAsia="宋体" w:cs="宋体"/>
                <w:caps w:val="0"/>
                <w:color w:val="auto"/>
                <w:sz w:val="24"/>
                <w:szCs w:val="24"/>
                <w:vertAlign w:val="baseline"/>
                <w:lang w:eastAsia="zh-CN" w:bidi="ar"/>
              </w:rPr>
              <w:t>，贯彻落实</w:t>
            </w:r>
            <w:r>
              <w:rPr>
                <w:rFonts w:hint="eastAsia" w:ascii="宋体" w:hAnsi="宋体" w:eastAsia="宋体" w:cs="宋体"/>
                <w:caps w:val="0"/>
                <w:color w:val="auto"/>
                <w:sz w:val="24"/>
                <w:szCs w:val="24"/>
                <w:vertAlign w:val="baseline"/>
                <w:lang w:bidi="ar"/>
              </w:rPr>
              <w:t>异地远程评标管理办法，推动建立异地远程评标调度平台</w:t>
            </w:r>
            <w:r>
              <w:rPr>
                <w:rFonts w:hint="eastAsia" w:ascii="宋体" w:hAnsi="宋体" w:eastAsia="宋体" w:cs="宋体"/>
                <w:caps w:val="0"/>
                <w:color w:val="auto"/>
                <w:sz w:val="24"/>
                <w:szCs w:val="24"/>
                <w:vertAlign w:val="baseline"/>
                <w:lang w:eastAsia="zh-CN" w:bidi="ar"/>
              </w:rPr>
              <w:t>，积极推进全行业不见面开标和远程异地评标。</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按照省上部署进度，及时推进</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15"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bidi="ar"/>
              </w:rPr>
              <w:t>不断提升改造电子化交易平台体系，实现依法必须招标项目均可通过电子交易平台在线提出异议和作出答复</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11月底前实现依法必须招标项目均可通过电子交易平台在线提出异议和作出答复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12"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tabs>
                <w:tab w:val="left" w:pos="265"/>
                <w:tab w:val="center" w:pos="434"/>
              </w:tabs>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left"/>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bidi="ar"/>
              </w:rPr>
              <w:tab/>
            </w:r>
            <w:r>
              <w:rPr>
                <w:rFonts w:hint="eastAsia" w:ascii="宋体" w:hAnsi="宋体" w:eastAsia="宋体" w:cs="宋体"/>
                <w:caps w:val="0"/>
                <w:color w:val="auto"/>
                <w:sz w:val="24"/>
                <w:szCs w:val="24"/>
                <w:vertAlign w:val="baseline"/>
                <w:lang w:val="en-US" w:eastAsia="zh-CN" w:bidi="ar"/>
              </w:rPr>
              <w:t>4</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进一步加</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大监督问责力度</w:t>
            </w: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按照省上统一部署，</w:t>
            </w:r>
            <w:r>
              <w:rPr>
                <w:rFonts w:hint="eastAsia" w:ascii="宋体" w:hAnsi="宋体" w:eastAsia="宋体" w:cs="宋体"/>
                <w:caps w:val="0"/>
                <w:color w:val="auto"/>
                <w:sz w:val="24"/>
                <w:szCs w:val="24"/>
                <w:vertAlign w:val="baseline"/>
                <w:lang w:bidi="ar"/>
              </w:rPr>
              <w:t>加快落实农业农村、广播电视</w:t>
            </w:r>
            <w:r>
              <w:rPr>
                <w:rFonts w:hint="eastAsia" w:ascii="宋体" w:hAnsi="宋体" w:eastAsia="宋体" w:cs="宋体"/>
                <w:caps w:val="0"/>
                <w:color w:val="auto"/>
                <w:sz w:val="24"/>
                <w:szCs w:val="24"/>
                <w:vertAlign w:val="baseline"/>
                <w:lang w:eastAsia="zh-CN" w:bidi="ar"/>
              </w:rPr>
              <w:t>、能源</w:t>
            </w:r>
            <w:r>
              <w:rPr>
                <w:rFonts w:hint="eastAsia" w:ascii="宋体" w:hAnsi="宋体" w:eastAsia="宋体" w:cs="宋体"/>
                <w:caps w:val="0"/>
                <w:color w:val="auto"/>
                <w:sz w:val="24"/>
                <w:szCs w:val="24"/>
                <w:vertAlign w:val="baseline"/>
                <w:lang w:bidi="ar"/>
              </w:rPr>
              <w:t>等行业领域招投标活动的行政监督职责。</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农业农村</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广电局、</w:t>
            </w:r>
            <w:r>
              <w:rPr>
                <w:rFonts w:hint="eastAsia" w:ascii="宋体" w:hAnsi="宋体" w:eastAsia="宋体" w:cs="宋体"/>
                <w:caps w:val="0"/>
                <w:color w:val="auto"/>
                <w:sz w:val="24"/>
                <w:szCs w:val="24"/>
                <w:vertAlign w:val="baseline"/>
                <w:lang w:eastAsia="zh-CN" w:bidi="ar"/>
              </w:rPr>
              <w:t>州发改委</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依职责分工负责</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11月底前完成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63"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bidi="ar"/>
              </w:rPr>
              <w:t>依据法律法规和部门职责，以清单方式明确投诉处理职责分工，依法办理</w:t>
            </w:r>
            <w:r>
              <w:rPr>
                <w:rFonts w:hint="eastAsia" w:ascii="宋体" w:hAnsi="宋体" w:eastAsia="宋体" w:cs="宋体"/>
                <w:caps w:val="0"/>
                <w:color w:val="auto"/>
                <w:sz w:val="24"/>
                <w:szCs w:val="24"/>
                <w:vertAlign w:val="baseline"/>
                <w:lang w:eastAsia="zh-CN" w:bidi="ar"/>
              </w:rPr>
              <w:t>省、州</w:t>
            </w:r>
            <w:r>
              <w:rPr>
                <w:rFonts w:hint="eastAsia" w:ascii="宋体" w:hAnsi="宋体" w:eastAsia="宋体" w:cs="宋体"/>
                <w:caps w:val="0"/>
                <w:color w:val="auto"/>
                <w:sz w:val="24"/>
                <w:szCs w:val="24"/>
                <w:vertAlign w:val="baseline"/>
                <w:lang w:bidi="ar"/>
              </w:rPr>
              <w:t>移送的招投标领域营商环境问题线索，切实避免重复受理和相互推诿</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动态推进，长期坚持，</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8月底前以清单方式明确投诉处理职责分工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81"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highlight w:val="yellow"/>
                <w:vertAlign w:val="baseline"/>
                <w:lang w:eastAsia="zh-CN" w:bidi="ar"/>
              </w:rPr>
            </w:pPr>
            <w:r>
              <w:rPr>
                <w:rFonts w:hint="eastAsia" w:ascii="宋体" w:hAnsi="宋体" w:eastAsia="宋体" w:cs="宋体"/>
                <w:caps w:val="0"/>
                <w:color w:val="auto"/>
                <w:sz w:val="24"/>
                <w:szCs w:val="24"/>
                <w:vertAlign w:val="baseline"/>
                <w:lang w:bidi="ar"/>
              </w:rPr>
              <w:t>加大向纪委监委移送案件线索力度，统筹建立与公安机关违法线索研判会商机制，</w:t>
            </w:r>
            <w:r>
              <w:rPr>
                <w:rFonts w:hint="eastAsia" w:ascii="宋体" w:hAnsi="宋体" w:eastAsia="宋体" w:cs="宋体"/>
                <w:caps w:val="0"/>
                <w:color w:val="auto"/>
                <w:sz w:val="24"/>
                <w:szCs w:val="24"/>
                <w:vertAlign w:val="baseline"/>
                <w:lang w:eastAsia="zh-CN" w:bidi="ar"/>
              </w:rPr>
              <w:t>积极同法院建立健全工程建设领域民事司法与行政执法衔接联动工作机制，</w:t>
            </w:r>
            <w:r>
              <w:rPr>
                <w:rFonts w:hint="eastAsia" w:ascii="宋体" w:hAnsi="宋体" w:eastAsia="宋体" w:cs="宋体"/>
                <w:caps w:val="0"/>
                <w:color w:val="auto"/>
                <w:sz w:val="24"/>
                <w:szCs w:val="24"/>
                <w:vertAlign w:val="baseline"/>
                <w:lang w:bidi="ar"/>
              </w:rPr>
              <w:t>集中处理一批招投标领域违法犯罪案件，及时曝光一批典型案例</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动态推进，长期坚持，</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11月</w:t>
            </w:r>
            <w:r>
              <w:rPr>
                <w:rFonts w:hint="eastAsia" w:ascii="宋体" w:hAnsi="宋体" w:eastAsia="宋体" w:cs="宋体"/>
                <w:caps w:val="0"/>
                <w:color w:val="auto"/>
                <w:sz w:val="24"/>
                <w:szCs w:val="24"/>
                <w:vertAlign w:val="baseline"/>
                <w:lang w:val="en-US" w:eastAsia="zh-CN" w:bidi="ar"/>
              </w:rPr>
              <w:t>20日</w:t>
            </w:r>
            <w:r>
              <w:rPr>
                <w:rFonts w:hint="eastAsia" w:ascii="宋体" w:hAnsi="宋体" w:eastAsia="宋体" w:cs="宋体"/>
                <w:caps w:val="0"/>
                <w:color w:val="auto"/>
                <w:sz w:val="24"/>
                <w:szCs w:val="24"/>
                <w:vertAlign w:val="baseline"/>
                <w:lang w:bidi="ar"/>
              </w:rPr>
              <w:t>前处理并曝光一批典型案例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4"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val="en-US" w:eastAsia="zh-CN" w:bidi="ar"/>
              </w:rPr>
              <w:t>5</w:t>
            </w:r>
          </w:p>
        </w:tc>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进一步深</w:t>
            </w:r>
          </w:p>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center"/>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化廉政风险防控</w:t>
            </w: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全面贯彻落实《四川省发展和改革委员会等6部门关于在全省推行中标候选人评定分离机制的通知》（川发改法规〔2020〕652号）要求，尽快修订出台我州配套范本</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12月</w:t>
            </w:r>
            <w:r>
              <w:rPr>
                <w:rFonts w:hint="eastAsia" w:ascii="宋体" w:hAnsi="宋体" w:eastAsia="宋体" w:cs="宋体"/>
                <w:caps w:val="0"/>
                <w:color w:val="auto"/>
                <w:sz w:val="24"/>
                <w:szCs w:val="24"/>
                <w:vertAlign w:val="baseline"/>
                <w:lang w:val="en-US" w:eastAsia="zh-CN" w:bidi="ar"/>
              </w:rPr>
              <w:t>20日</w:t>
            </w:r>
            <w:r>
              <w:rPr>
                <w:rFonts w:hint="eastAsia" w:ascii="宋体" w:hAnsi="宋体" w:eastAsia="宋体" w:cs="宋体"/>
                <w:caps w:val="0"/>
                <w:color w:val="auto"/>
                <w:sz w:val="24"/>
                <w:szCs w:val="24"/>
                <w:vertAlign w:val="baseline"/>
                <w:lang w:bidi="ar"/>
              </w:rPr>
              <w:t>前完成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4"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bidi="ar"/>
              </w:rPr>
              <w:t>加强法治宣传教育，分行业组织开展招投标法律法规教育培训</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12月</w:t>
            </w:r>
            <w:r>
              <w:rPr>
                <w:rFonts w:hint="eastAsia" w:ascii="宋体" w:hAnsi="宋体" w:eastAsia="宋体" w:cs="宋体"/>
                <w:caps w:val="0"/>
                <w:color w:val="auto"/>
                <w:sz w:val="24"/>
                <w:szCs w:val="24"/>
                <w:vertAlign w:val="baseline"/>
                <w:lang w:val="en-US" w:eastAsia="zh-CN" w:bidi="ar"/>
              </w:rPr>
              <w:t>20日</w:t>
            </w:r>
            <w:r>
              <w:rPr>
                <w:rFonts w:hint="eastAsia" w:ascii="宋体" w:hAnsi="宋体" w:eastAsia="宋体" w:cs="宋体"/>
                <w:caps w:val="0"/>
                <w:color w:val="auto"/>
                <w:sz w:val="24"/>
                <w:szCs w:val="24"/>
                <w:vertAlign w:val="baseline"/>
                <w:lang w:bidi="ar"/>
              </w:rPr>
              <w:t>前组织1-2批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61"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1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61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eastAsia="zh-CN" w:bidi="ar"/>
              </w:rPr>
            </w:pPr>
            <w:r>
              <w:rPr>
                <w:rFonts w:hint="eastAsia" w:ascii="宋体" w:hAnsi="宋体" w:eastAsia="宋体" w:cs="宋体"/>
                <w:caps w:val="0"/>
                <w:color w:val="auto"/>
                <w:sz w:val="24"/>
                <w:szCs w:val="24"/>
                <w:vertAlign w:val="baseline"/>
                <w:lang w:eastAsia="zh-CN" w:bidi="ar"/>
              </w:rPr>
              <w:t>分行业组织</w:t>
            </w:r>
            <w:r>
              <w:rPr>
                <w:rFonts w:hint="eastAsia" w:ascii="宋体" w:hAnsi="宋体" w:eastAsia="宋体" w:cs="宋体"/>
                <w:caps w:val="0"/>
                <w:color w:val="auto"/>
                <w:sz w:val="24"/>
                <w:szCs w:val="24"/>
                <w:vertAlign w:val="baseline"/>
                <w:lang w:bidi="ar"/>
              </w:rPr>
              <w:t>开展招投标监管环节廉政风险梳理排查，对照完善针对性防控措施，坚决纠正“自设权力”行为</w:t>
            </w:r>
            <w:r>
              <w:rPr>
                <w:rFonts w:hint="eastAsia" w:ascii="宋体" w:hAnsi="宋体" w:eastAsia="宋体" w:cs="宋体"/>
                <w:caps w:val="0"/>
                <w:color w:val="auto"/>
                <w:sz w:val="24"/>
                <w:szCs w:val="24"/>
                <w:vertAlign w:val="baseline"/>
                <w:lang w:eastAsia="zh-CN" w:bidi="ar"/>
              </w:rPr>
              <w:t>。</w:t>
            </w:r>
          </w:p>
        </w:tc>
        <w:tc>
          <w:tcPr>
            <w:tcW w:w="35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eastAsia="zh-CN" w:bidi="ar"/>
              </w:rPr>
              <w:t>州发改</w:t>
            </w:r>
            <w:r>
              <w:rPr>
                <w:rFonts w:hint="eastAsia" w:ascii="宋体" w:hAnsi="宋体" w:eastAsia="宋体" w:cs="宋体"/>
                <w:caps w:val="0"/>
                <w:color w:val="auto"/>
                <w:sz w:val="24"/>
                <w:szCs w:val="24"/>
                <w:vertAlign w:val="baseline"/>
                <w:lang w:bidi="ar"/>
              </w:rPr>
              <w:t>委</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自然资源</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州住建局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w:t>
            </w:r>
            <w:r>
              <w:rPr>
                <w:rFonts w:hint="eastAsia" w:ascii="宋体" w:hAnsi="宋体" w:eastAsia="宋体" w:cs="宋体"/>
                <w:caps w:val="0"/>
                <w:color w:val="auto"/>
                <w:sz w:val="24"/>
                <w:szCs w:val="24"/>
                <w:vertAlign w:val="baseline"/>
                <w:lang w:bidi="ar"/>
              </w:rPr>
              <w:t>交通运输</w:t>
            </w:r>
            <w:r>
              <w:rPr>
                <w:rFonts w:hint="eastAsia" w:ascii="宋体" w:hAnsi="宋体" w:eastAsia="宋体" w:cs="宋体"/>
                <w:caps w:val="0"/>
                <w:color w:val="auto"/>
                <w:sz w:val="24"/>
                <w:szCs w:val="24"/>
                <w:vertAlign w:val="baseline"/>
                <w:lang w:eastAsia="zh-CN" w:bidi="ar"/>
              </w:rPr>
              <w:t>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州水务局</w:t>
            </w:r>
            <w:r>
              <w:rPr>
                <w:rFonts w:hint="eastAsia" w:ascii="宋体" w:hAnsi="宋体" w:eastAsia="宋体" w:cs="宋体"/>
                <w:caps w:val="0"/>
                <w:color w:val="auto"/>
                <w:sz w:val="24"/>
                <w:szCs w:val="24"/>
                <w:vertAlign w:val="baseline"/>
                <w:lang w:bidi="ar"/>
              </w:rPr>
              <w:t>、</w:t>
            </w:r>
            <w:r>
              <w:rPr>
                <w:rFonts w:hint="eastAsia" w:ascii="宋体" w:hAnsi="宋体" w:eastAsia="宋体" w:cs="宋体"/>
                <w:caps w:val="0"/>
                <w:color w:val="auto"/>
                <w:sz w:val="24"/>
                <w:szCs w:val="24"/>
                <w:vertAlign w:val="baseline"/>
                <w:lang w:eastAsia="zh-CN" w:bidi="ar"/>
              </w:rPr>
              <w:t>州公共资源交易中心</w:t>
            </w:r>
          </w:p>
        </w:tc>
        <w:tc>
          <w:tcPr>
            <w:tcW w:w="32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firstLineChars="0"/>
              <w:jc w:val="both"/>
              <w:outlineLvl w:val="9"/>
              <w:rPr>
                <w:rFonts w:hint="eastAsia" w:ascii="宋体" w:hAnsi="宋体" w:eastAsia="宋体" w:cs="宋体"/>
                <w:caps w:val="0"/>
                <w:color w:val="auto"/>
                <w:sz w:val="24"/>
                <w:szCs w:val="24"/>
                <w:vertAlign w:val="baseline"/>
                <w:lang w:bidi="ar"/>
              </w:rPr>
            </w:pPr>
            <w:r>
              <w:rPr>
                <w:rFonts w:hint="eastAsia" w:ascii="宋体" w:hAnsi="宋体" w:eastAsia="宋体" w:cs="宋体"/>
                <w:caps w:val="0"/>
                <w:color w:val="auto"/>
                <w:sz w:val="24"/>
                <w:szCs w:val="24"/>
                <w:vertAlign w:val="baseline"/>
                <w:lang w:bidi="ar"/>
              </w:rPr>
              <w:t>11月</w:t>
            </w:r>
            <w:r>
              <w:rPr>
                <w:rFonts w:hint="eastAsia" w:ascii="宋体" w:hAnsi="宋体" w:eastAsia="宋体" w:cs="宋体"/>
                <w:caps w:val="0"/>
                <w:color w:val="auto"/>
                <w:sz w:val="24"/>
                <w:szCs w:val="24"/>
                <w:vertAlign w:val="baseline"/>
                <w:lang w:val="en-US" w:eastAsia="zh-CN" w:bidi="ar"/>
              </w:rPr>
              <w:t>20日</w:t>
            </w:r>
            <w:r>
              <w:rPr>
                <w:rFonts w:hint="eastAsia" w:ascii="宋体" w:hAnsi="宋体" w:eastAsia="宋体" w:cs="宋体"/>
                <w:caps w:val="0"/>
                <w:color w:val="auto"/>
                <w:sz w:val="24"/>
                <w:szCs w:val="24"/>
                <w:vertAlign w:val="baseline"/>
                <w:lang w:bidi="ar"/>
              </w:rPr>
              <w:t>前完成</w:t>
            </w:r>
          </w:p>
        </w:tc>
      </w:tr>
    </w:tbl>
    <w:p>
      <w:pPr>
        <w:pStyle w:val="5"/>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firstLineChars="0"/>
        <w:jc w:val="both"/>
        <w:outlineLvl w:val="9"/>
        <w:rPr>
          <w:rFonts w:hint="eastAsia" w:ascii="仿宋_GB2312" w:eastAsia="仿宋_GB2312" w:cs="仿宋_GB2312"/>
          <w:caps w:val="0"/>
          <w:color w:val="auto"/>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80" w:lineRule="exact"/>
        <w:ind w:left="0" w:right="0" w:firstLine="0"/>
        <w:jc w:val="both"/>
        <w:outlineLvl w:val="9"/>
        <w:rPr>
          <w:rFonts w:hint="default" w:ascii="Times New Roman" w:hAnsi="Times New Roman" w:eastAsia="方正小标宋简体" w:cs="Times New Roman"/>
          <w:caps w:val="0"/>
          <w:color w:val="000000"/>
          <w:sz w:val="44"/>
          <w:szCs w:val="44"/>
          <w:vertAlign w:val="baseline"/>
        </w:rPr>
      </w:pPr>
    </w:p>
    <w:p>
      <w:pPr>
        <w:pStyle w:val="4"/>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36" w:lineRule="auto"/>
        <w:ind w:left="0" w:right="0" w:firstLine="640" w:firstLineChars="200"/>
        <w:jc w:val="both"/>
        <w:outlineLvl w:val="9"/>
        <w:rPr>
          <w:rFonts w:hint="eastAsia" w:ascii="仿宋_GB2312" w:eastAsia="仿宋_GB2312" w:cs="仿宋_GB2312"/>
          <w:caps w:val="0"/>
          <w:color w:val="auto"/>
          <w:sz w:val="32"/>
          <w:szCs w:val="32"/>
          <w:vertAlign w:val="baseline"/>
          <w:lang w:eastAsia="zh-CN"/>
        </w:rPr>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E501D"/>
    <w:rsid w:val="4A6E501D"/>
    <w:rsid w:val="57EB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 First Indent 2"/>
    <w:qFormat/>
    <w:uiPriority w:val="0"/>
    <w:pPr>
      <w:keepNext w:val="0"/>
      <w:keepLines w:val="0"/>
      <w:widowControl w:val="0"/>
      <w:suppressLineNumbers w:val="0"/>
      <w:adjustRightInd w:val="0"/>
      <w:snapToGrid w:val="0"/>
      <w:spacing w:before="0" w:beforeAutospacing="0" w:after="0" w:afterAutospacing="0" w:line="336" w:lineRule="auto"/>
      <w:ind w:left="0" w:firstLine="200" w:firstLineChars="200"/>
      <w:jc w:val="both"/>
    </w:pPr>
    <w:rPr>
      <w:rFonts w:hint="default" w:ascii="仿宋_GB2312" w:hAnsi="Times New Roman" w:eastAsia="仿宋_GB2312" w:cs="仿宋_GB2312"/>
      <w:snapToGrid/>
      <w:kern w:val="2"/>
      <w:sz w:val="32"/>
      <w:szCs w:val="24"/>
      <w:lang w:val="en-US" w:eastAsia="zh-CN" w:bidi="ar"/>
    </w:rPr>
  </w:style>
  <w:style w:type="paragraph" w:customStyle="1" w:styleId="5">
    <w:name w:val="Body Text First Indent 21"/>
    <w:basedOn w:val="1"/>
    <w:qFormat/>
    <w:uiPriority w:val="0"/>
    <w:pPr>
      <w:keepNext w:val="0"/>
      <w:keepLines w:val="0"/>
      <w:widowControl w:val="0"/>
      <w:suppressLineNumbers w:val="0"/>
      <w:spacing w:before="0" w:beforeAutospacing="0" w:after="0" w:afterAutospacing="0" w:line="240" w:lineRule="auto"/>
      <w:ind w:left="0" w:firstLine="200" w:firstLineChars="200"/>
      <w:jc w:val="both"/>
    </w:pPr>
    <w:rPr>
      <w:rFonts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2021-05-17T17:57:00Z</dcterms:created>
  <dc:creator>索郎措</dc:creator>
  <cp:lastModifiedBy>user</cp:lastModifiedBy>
  <dcterms:modified xsi:type="dcterms:W3CDTF">2023-08-17T11:29:11Z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A3645349886956BA0794DD647B478D88</vt:lpwstr>
  </property>
</Properties>
</file>