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63" w:hanging="563" w:hangingChars="17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35"/>
        <w:gridCol w:w="1749"/>
        <w:gridCol w:w="1750"/>
        <w:gridCol w:w="2334"/>
        <w:gridCol w:w="50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5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5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储备合计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15944.89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13342.72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2139.48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462.69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九寨国库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1817.88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马尔康市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1353.82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金川县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1070.93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8.52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小金县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498.26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472.74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调入大米4吨，面粉7吨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阿坝县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920.59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若尔盖县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587.13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调入大米50.5吨，面粉23吨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红原县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壤塘县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调入大米30吨，面粉15吨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汶川县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调入大米3吨，面粉2.2吨，菜籽油1吨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理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2593.98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调入大米45吨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茂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298.37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240.67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松潘县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940.37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897.41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九寨沟县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1015.66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36.77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调入大米1.9吨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黑水县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237.46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14.33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  <w:t>调入大米10吨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阿坝州成品粮油储备情况表</w:t>
      </w:r>
    </w:p>
    <w:p>
      <w:pPr>
        <w:spacing w:line="520" w:lineRule="exact"/>
        <w:ind w:firstLine="117" w:firstLineChars="49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小标宋简体"/>
          <w:kern w:val="0"/>
          <w:sz w:val="24"/>
        </w:rPr>
        <w:t xml:space="preserve">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17C58"/>
    <w:rsid w:val="33F1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2020-10-09T01:20:00Z</dcterms:created>
  <dc:creator>索郎措</dc:creator>
  <cp:lastModifiedBy>索郎措</cp:lastModifiedBy>
  <dcterms:modified xsi:type="dcterms:W3CDTF">2020-10-09T01:21:11Z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